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A3" w:rsidRDefault="00FF0BAB" w:rsidP="003A1DF5">
      <w:pPr>
        <w:jc w:val="center"/>
        <w:rPr>
          <w:b/>
          <w:sz w:val="30"/>
          <w:szCs w:val="30"/>
        </w:rPr>
      </w:pPr>
      <w:bookmarkStart w:id="0" w:name="_GoBack"/>
      <w:bookmarkEnd w:id="0"/>
      <w:r w:rsidRPr="00FF0BAB">
        <w:rPr>
          <w:b/>
          <w:sz w:val="30"/>
          <w:szCs w:val="30"/>
        </w:rPr>
        <w:t>American Hospital Association Downloadable Press Kit</w:t>
      </w:r>
    </w:p>
    <w:p w:rsidR="00F770A3" w:rsidRPr="00F770A3" w:rsidRDefault="00F770A3" w:rsidP="00E14D0A">
      <w:pPr>
        <w:rPr>
          <w:b/>
          <w:sz w:val="20"/>
          <w:szCs w:val="20"/>
        </w:rPr>
      </w:pPr>
    </w:p>
    <w:p w:rsidR="00FF0BAB" w:rsidRDefault="00940509" w:rsidP="00FF0BAB">
      <w:pPr>
        <w:shd w:val="clear" w:color="auto" w:fill="FFFFFF"/>
        <w:spacing w:before="150" w:after="100" w:afterAutospacing="1" w:line="240" w:lineRule="auto"/>
        <w:rPr>
          <w:rFonts w:eastAsia="Times New Roman" w:cs="Arial"/>
          <w:color w:val="000000"/>
          <w:sz w:val="23"/>
          <w:szCs w:val="23"/>
        </w:rPr>
      </w:pPr>
      <w:r>
        <w:rPr>
          <w:rFonts w:eastAsia="Times New Roman" w:cs="Arial"/>
          <w:noProof/>
          <w:color w:val="000000"/>
          <w:sz w:val="23"/>
          <w:szCs w:val="23"/>
        </w:rPr>
        <w:drawing>
          <wp:inline distT="0" distB="0" distL="0" distR="0" wp14:anchorId="5F85BE84" wp14:editId="28EABBE0">
            <wp:extent cx="1394460" cy="1390881"/>
            <wp:effectExtent l="0" t="0" r="0" b="0"/>
            <wp:docPr id="1" name="Picture 1" descr="C:\Users\sdean\Desktop\Pollack_560x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an\Desktop\Pollack_560x62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3048" cy="1399447"/>
                    </a:xfrm>
                    <a:prstGeom prst="rect">
                      <a:avLst/>
                    </a:prstGeom>
                    <a:noFill/>
                    <a:ln>
                      <a:noFill/>
                    </a:ln>
                  </pic:spPr>
                </pic:pic>
              </a:graphicData>
            </a:graphic>
          </wp:inline>
        </w:drawing>
      </w:r>
      <w:r>
        <w:rPr>
          <w:rFonts w:eastAsia="Times New Roman" w:cs="Arial"/>
          <w:color w:val="000000"/>
          <w:sz w:val="23"/>
          <w:szCs w:val="23"/>
        </w:rPr>
        <w:t xml:space="preserve">                     </w:t>
      </w:r>
      <w:r>
        <w:rPr>
          <w:rFonts w:eastAsia="Times New Roman" w:cs="Arial"/>
          <w:noProof/>
          <w:color w:val="000000"/>
          <w:sz w:val="23"/>
          <w:szCs w:val="23"/>
        </w:rPr>
        <w:drawing>
          <wp:inline distT="0" distB="0" distL="0" distR="0">
            <wp:extent cx="1386840" cy="1383279"/>
            <wp:effectExtent l="0" t="0" r="3810" b="7620"/>
            <wp:docPr id="3" name="Picture 3" descr="C:\Users\sdean\Desktop\Nickels_560x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ean\Desktop\Nickels_560x62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10126" cy="1406505"/>
                    </a:xfrm>
                    <a:prstGeom prst="rect">
                      <a:avLst/>
                    </a:prstGeom>
                    <a:noFill/>
                    <a:ln>
                      <a:noFill/>
                    </a:ln>
                  </pic:spPr>
                </pic:pic>
              </a:graphicData>
            </a:graphic>
          </wp:inline>
        </w:drawing>
      </w:r>
      <w:r>
        <w:rPr>
          <w:rFonts w:eastAsia="Times New Roman" w:cs="Arial"/>
          <w:color w:val="000000"/>
          <w:sz w:val="23"/>
          <w:szCs w:val="23"/>
        </w:rPr>
        <w:t xml:space="preserve">           </w:t>
      </w:r>
      <w:r w:rsidR="00A607C4">
        <w:rPr>
          <w:rFonts w:eastAsia="Times New Roman" w:cs="Arial"/>
          <w:color w:val="000000"/>
          <w:sz w:val="23"/>
          <w:szCs w:val="23"/>
        </w:rPr>
        <w:t xml:space="preserve"> </w:t>
      </w:r>
      <w:r>
        <w:rPr>
          <w:rFonts w:eastAsia="Times New Roman" w:cs="Arial"/>
          <w:color w:val="000000"/>
          <w:sz w:val="23"/>
          <w:szCs w:val="23"/>
        </w:rPr>
        <w:t xml:space="preserve">    </w:t>
      </w:r>
      <w:r w:rsidR="00A607C4">
        <w:rPr>
          <w:rFonts w:eastAsia="Times New Roman" w:cs="Arial"/>
          <w:noProof/>
          <w:color w:val="000000"/>
          <w:sz w:val="23"/>
          <w:szCs w:val="23"/>
        </w:rPr>
        <w:drawing>
          <wp:inline distT="0" distB="0" distL="0" distR="0" wp14:anchorId="66EB7852" wp14:editId="7273D83F">
            <wp:extent cx="1394460" cy="1394460"/>
            <wp:effectExtent l="0" t="0" r="0" b="0"/>
            <wp:docPr id="6" name="Picture 6" descr="C:\Users\gvalentine\Documents\brian_gragnolati_annual_meeting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valentine\Documents\brian_gragnolati_annual_meeting_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inline>
        </w:drawing>
      </w:r>
      <w:r>
        <w:rPr>
          <w:rFonts w:eastAsia="Times New Roman" w:cs="Arial"/>
          <w:color w:val="000000"/>
          <w:sz w:val="23"/>
          <w:szCs w:val="23"/>
        </w:rPr>
        <w:t xml:space="preserve">            </w:t>
      </w:r>
    </w:p>
    <w:p w:rsidR="00FF0BAB" w:rsidRDefault="00FF0BAB" w:rsidP="00FF0BAB">
      <w:pPr>
        <w:shd w:val="clear" w:color="auto" w:fill="FFFFFF"/>
        <w:spacing w:after="0" w:line="240" w:lineRule="auto"/>
        <w:rPr>
          <w:rFonts w:eastAsia="Times New Roman" w:cs="Arial"/>
          <w:color w:val="000000"/>
          <w:sz w:val="23"/>
          <w:szCs w:val="23"/>
        </w:rPr>
      </w:pPr>
      <w:r>
        <w:rPr>
          <w:rFonts w:eastAsia="Times New Roman" w:cs="Arial"/>
          <w:color w:val="000000"/>
          <w:sz w:val="23"/>
          <w:szCs w:val="23"/>
        </w:rPr>
        <w:t xml:space="preserve">          Rick Pollack                                        </w:t>
      </w:r>
      <w:r w:rsidR="00F770A3">
        <w:rPr>
          <w:rFonts w:eastAsia="Times New Roman" w:cs="Arial"/>
          <w:color w:val="000000"/>
          <w:sz w:val="23"/>
          <w:szCs w:val="23"/>
        </w:rPr>
        <w:t xml:space="preserve">  </w:t>
      </w:r>
      <w:r>
        <w:rPr>
          <w:rFonts w:eastAsia="Times New Roman" w:cs="Arial"/>
          <w:color w:val="000000"/>
          <w:sz w:val="23"/>
          <w:szCs w:val="23"/>
        </w:rPr>
        <w:t xml:space="preserve">Tom Nickels         </w:t>
      </w:r>
      <w:r w:rsidR="00C710AF">
        <w:rPr>
          <w:rFonts w:eastAsia="Times New Roman" w:cs="Arial"/>
          <w:color w:val="000000"/>
          <w:sz w:val="23"/>
          <w:szCs w:val="23"/>
        </w:rPr>
        <w:t xml:space="preserve">                       </w:t>
      </w:r>
      <w:r w:rsidR="00A607C4">
        <w:rPr>
          <w:rFonts w:eastAsia="Times New Roman" w:cs="Arial"/>
          <w:color w:val="000000"/>
          <w:sz w:val="23"/>
          <w:szCs w:val="23"/>
        </w:rPr>
        <w:t xml:space="preserve"> Brian </w:t>
      </w:r>
      <w:proofErr w:type="spellStart"/>
      <w:r w:rsidR="00A607C4">
        <w:rPr>
          <w:rFonts w:eastAsia="Times New Roman" w:cs="Arial"/>
          <w:color w:val="000000"/>
          <w:sz w:val="23"/>
          <w:szCs w:val="23"/>
        </w:rPr>
        <w:t>Gragnolati</w:t>
      </w:r>
      <w:proofErr w:type="spellEnd"/>
    </w:p>
    <w:p w:rsidR="00FF0BAB" w:rsidRDefault="00FF0BAB" w:rsidP="00FF0BAB">
      <w:pPr>
        <w:shd w:val="clear" w:color="auto" w:fill="FFFFFF"/>
        <w:spacing w:after="0" w:line="240" w:lineRule="auto"/>
        <w:rPr>
          <w:rFonts w:eastAsia="Times New Roman" w:cs="Arial"/>
          <w:color w:val="000000"/>
          <w:sz w:val="23"/>
          <w:szCs w:val="23"/>
        </w:rPr>
      </w:pPr>
      <w:r>
        <w:rPr>
          <w:rFonts w:eastAsia="Times New Roman" w:cs="Arial"/>
          <w:color w:val="000000"/>
          <w:sz w:val="23"/>
          <w:szCs w:val="23"/>
        </w:rPr>
        <w:t xml:space="preserve">     President and CEO                        Executive Vice President      </w:t>
      </w:r>
      <w:r w:rsidR="00E910D0">
        <w:rPr>
          <w:rFonts w:eastAsia="Times New Roman" w:cs="Arial"/>
          <w:color w:val="000000"/>
          <w:sz w:val="23"/>
          <w:szCs w:val="23"/>
        </w:rPr>
        <w:t xml:space="preserve">              </w:t>
      </w:r>
      <w:r w:rsidR="00A607C4">
        <w:rPr>
          <w:rFonts w:eastAsia="Times New Roman" w:cs="Arial"/>
          <w:color w:val="000000"/>
          <w:sz w:val="23"/>
          <w:szCs w:val="23"/>
        </w:rPr>
        <w:t xml:space="preserve"> </w:t>
      </w:r>
      <w:r w:rsidR="00E910D0">
        <w:rPr>
          <w:rFonts w:eastAsia="Times New Roman" w:cs="Arial"/>
          <w:color w:val="000000"/>
          <w:sz w:val="23"/>
          <w:szCs w:val="23"/>
        </w:rPr>
        <w:t>Board Chair</w:t>
      </w:r>
      <w:r w:rsidR="00A607C4">
        <w:rPr>
          <w:rFonts w:eastAsia="Times New Roman" w:cs="Arial"/>
          <w:color w:val="000000"/>
          <w:sz w:val="23"/>
          <w:szCs w:val="23"/>
        </w:rPr>
        <w:t>man</w:t>
      </w:r>
    </w:p>
    <w:p w:rsidR="00FF0BAB" w:rsidRDefault="00FF0BAB" w:rsidP="00FF0BAB">
      <w:pPr>
        <w:jc w:val="center"/>
        <w:rPr>
          <w:b/>
          <w:sz w:val="30"/>
          <w:szCs w:val="30"/>
        </w:rPr>
      </w:pPr>
    </w:p>
    <w:p w:rsidR="00FF0BAB" w:rsidRDefault="00FF0BAB" w:rsidP="00FF0BAB">
      <w:pPr>
        <w:rPr>
          <w:b/>
          <w:sz w:val="24"/>
          <w:szCs w:val="24"/>
        </w:rPr>
      </w:pPr>
      <w:r>
        <w:rPr>
          <w:b/>
          <w:sz w:val="24"/>
          <w:szCs w:val="24"/>
        </w:rPr>
        <w:t>About the AHA</w:t>
      </w:r>
    </w:p>
    <w:p w:rsidR="00FF0BAB" w:rsidRDefault="00FF0BAB" w:rsidP="00FF0BAB">
      <w:pPr>
        <w:shd w:val="clear" w:color="auto" w:fill="FFFFFF"/>
        <w:spacing w:before="150" w:after="100" w:afterAutospacing="1" w:line="240" w:lineRule="auto"/>
        <w:rPr>
          <w:rFonts w:eastAsia="Times New Roman" w:cs="Arial"/>
          <w:color w:val="000000"/>
          <w:sz w:val="23"/>
          <w:szCs w:val="23"/>
        </w:rPr>
      </w:pPr>
      <w:r w:rsidRPr="00FF0BAB">
        <w:rPr>
          <w:rFonts w:eastAsia="Times New Roman" w:cs="Arial"/>
          <w:color w:val="000000"/>
          <w:sz w:val="23"/>
          <w:szCs w:val="23"/>
        </w:rPr>
        <w:t>In September 1899, eight hospital superintendents met in Cleveland to discuss common concerns and interests. The result of this informal gathering was the establishment of the Association of Hospital Superintendents, an organization to facilitate discussion among hospital administrators. For approximately eight years, the Association served as a private club for hospital superintendents, excluding from membership assistant superintendents and others involved in running the hospital. In 1906, membership restrictions were changed to allow those executive officers next in authority below the superintendent to be associate members without vote, and the name was officially changed to the American Hospital Association. Personal membership remained the basis of the AHA until 1918 when the first institutional membership structure was adopted.</w:t>
      </w:r>
    </w:p>
    <w:p w:rsidR="002B4121" w:rsidRPr="002B4121" w:rsidRDefault="002B4121" w:rsidP="00FF0BAB">
      <w:pPr>
        <w:shd w:val="clear" w:color="auto" w:fill="FFFFFF"/>
        <w:spacing w:before="150" w:after="100" w:afterAutospacing="1" w:line="240" w:lineRule="auto"/>
        <w:rPr>
          <w:rFonts w:ascii="Calibri" w:eastAsia="Times New Roman" w:hAnsi="Calibri" w:cs="Arial"/>
          <w:color w:val="000000"/>
          <w:sz w:val="23"/>
          <w:szCs w:val="23"/>
        </w:rPr>
      </w:pPr>
      <w:r w:rsidRPr="002B4121">
        <w:rPr>
          <w:rFonts w:ascii="Calibri" w:hAnsi="Calibri" w:cs="Arial"/>
          <w:color w:val="000000"/>
          <w:sz w:val="23"/>
          <w:szCs w:val="23"/>
          <w:shd w:val="clear" w:color="auto" w:fill="FFFFFF"/>
        </w:rPr>
        <w:t>AHA represents and serves all types of hospitals, health care networks, and their patients and communities. Nearly 5,000 hospitals, health care systems, networks, other providers of care and 43,000 individual members come together to form the AHA.</w:t>
      </w:r>
    </w:p>
    <w:p w:rsidR="00FF0BAB" w:rsidRPr="00FF0BAB" w:rsidRDefault="00FF0BAB" w:rsidP="00FF0BAB">
      <w:pPr>
        <w:pStyle w:val="NormalWeb"/>
        <w:shd w:val="clear" w:color="auto" w:fill="FFFFFF"/>
        <w:spacing w:before="150" w:beforeAutospacing="0"/>
        <w:rPr>
          <w:rFonts w:asciiTheme="minorHAnsi" w:hAnsiTheme="minorHAnsi" w:cs="Arial"/>
          <w:color w:val="000000"/>
          <w:sz w:val="23"/>
          <w:szCs w:val="23"/>
        </w:rPr>
      </w:pPr>
      <w:r w:rsidRPr="00F770A3">
        <w:rPr>
          <w:rStyle w:val="Strong"/>
          <w:rFonts w:asciiTheme="minorHAnsi" w:hAnsiTheme="minorHAnsi" w:cs="Arial"/>
          <w:b w:val="0"/>
          <w:color w:val="000000"/>
          <w:sz w:val="23"/>
          <w:szCs w:val="23"/>
        </w:rPr>
        <w:t>Vision:</w:t>
      </w:r>
      <w:r w:rsidRPr="00FF0BAB">
        <w:rPr>
          <w:rFonts w:asciiTheme="minorHAnsi" w:hAnsiTheme="minorHAnsi" w:cs="Arial"/>
          <w:color w:val="000000"/>
          <w:sz w:val="23"/>
          <w:szCs w:val="23"/>
        </w:rPr>
        <w:t> The AHA vision is of a society of healthy communities, where all individuals reach their highest potential for health.</w:t>
      </w:r>
    </w:p>
    <w:p w:rsidR="003A1DF5" w:rsidRDefault="00FF0BAB" w:rsidP="00FF0BAB">
      <w:pPr>
        <w:pStyle w:val="NormalWeb"/>
        <w:shd w:val="clear" w:color="auto" w:fill="FFFFFF"/>
        <w:spacing w:before="150" w:beforeAutospacing="0"/>
        <w:rPr>
          <w:rFonts w:asciiTheme="minorHAnsi" w:hAnsiTheme="minorHAnsi" w:cs="Arial"/>
          <w:color w:val="000000"/>
          <w:sz w:val="23"/>
          <w:szCs w:val="23"/>
        </w:rPr>
      </w:pPr>
      <w:r w:rsidRPr="00F770A3">
        <w:rPr>
          <w:rStyle w:val="Strong"/>
          <w:rFonts w:asciiTheme="minorHAnsi" w:hAnsiTheme="minorHAnsi" w:cs="Arial"/>
          <w:b w:val="0"/>
          <w:color w:val="000000"/>
          <w:sz w:val="23"/>
          <w:szCs w:val="23"/>
        </w:rPr>
        <w:t>Mission:</w:t>
      </w:r>
      <w:r w:rsidRPr="00FF0BAB">
        <w:rPr>
          <w:rFonts w:asciiTheme="minorHAnsi" w:hAnsiTheme="minorHAnsi" w:cs="Arial"/>
          <w:color w:val="000000"/>
          <w:sz w:val="23"/>
          <w:szCs w:val="23"/>
        </w:rPr>
        <w:t> To advance the health of individuals and communities. The AHA leads, represents and serves hospitals, health systems and other related organizations that are accountable to the community and committed to health improvement.</w:t>
      </w:r>
    </w:p>
    <w:p w:rsidR="003A1DF5" w:rsidRDefault="003A1DF5" w:rsidP="00FF0BAB">
      <w:pPr>
        <w:pStyle w:val="NormalWeb"/>
        <w:shd w:val="clear" w:color="auto" w:fill="FFFFFF"/>
        <w:spacing w:before="150" w:beforeAutospacing="0"/>
        <w:rPr>
          <w:rFonts w:asciiTheme="minorHAnsi" w:hAnsiTheme="minorHAnsi" w:cs="Arial"/>
          <w:b/>
          <w:color w:val="000000"/>
        </w:rPr>
      </w:pPr>
    </w:p>
    <w:p w:rsidR="003A1DF5" w:rsidRDefault="003A1DF5" w:rsidP="00FF0BAB">
      <w:pPr>
        <w:pStyle w:val="NormalWeb"/>
        <w:shd w:val="clear" w:color="auto" w:fill="FFFFFF"/>
        <w:spacing w:before="150" w:beforeAutospacing="0"/>
        <w:rPr>
          <w:rFonts w:asciiTheme="minorHAnsi" w:hAnsiTheme="minorHAnsi" w:cs="Arial"/>
          <w:b/>
          <w:color w:val="000000"/>
        </w:rPr>
      </w:pPr>
    </w:p>
    <w:p w:rsidR="00C710AF" w:rsidRDefault="00C710AF" w:rsidP="00FF0BAB">
      <w:pPr>
        <w:pStyle w:val="NormalWeb"/>
        <w:shd w:val="clear" w:color="auto" w:fill="FFFFFF"/>
        <w:spacing w:before="150" w:beforeAutospacing="0"/>
        <w:rPr>
          <w:rFonts w:asciiTheme="minorHAnsi" w:hAnsiTheme="minorHAnsi" w:cs="Arial"/>
          <w:b/>
          <w:color w:val="000000"/>
        </w:rPr>
      </w:pPr>
    </w:p>
    <w:p w:rsidR="003A1DF5" w:rsidRDefault="003A1DF5" w:rsidP="00FF0BAB">
      <w:pPr>
        <w:pStyle w:val="NormalWeb"/>
        <w:shd w:val="clear" w:color="auto" w:fill="FFFFFF"/>
        <w:spacing w:before="150" w:beforeAutospacing="0"/>
        <w:rPr>
          <w:rFonts w:asciiTheme="minorHAnsi" w:hAnsiTheme="minorHAnsi" w:cs="Arial"/>
          <w:b/>
          <w:color w:val="000000"/>
        </w:rPr>
      </w:pPr>
    </w:p>
    <w:p w:rsidR="00F770A3" w:rsidRPr="003A1DF5" w:rsidRDefault="00F770A3" w:rsidP="00FF0BAB">
      <w:pPr>
        <w:pStyle w:val="NormalWeb"/>
        <w:shd w:val="clear" w:color="auto" w:fill="FFFFFF"/>
        <w:spacing w:before="150" w:beforeAutospacing="0"/>
        <w:rPr>
          <w:rFonts w:asciiTheme="minorHAnsi" w:hAnsiTheme="minorHAnsi" w:cs="Arial"/>
          <w:color w:val="000000"/>
          <w:sz w:val="23"/>
          <w:szCs w:val="23"/>
        </w:rPr>
      </w:pPr>
      <w:r w:rsidRPr="00F770A3">
        <w:rPr>
          <w:rFonts w:asciiTheme="minorHAnsi" w:hAnsiTheme="minorHAnsi" w:cs="Arial"/>
          <w:b/>
          <w:color w:val="000000"/>
        </w:rPr>
        <w:lastRenderedPageBreak/>
        <w:t xml:space="preserve">Frequently Requested Statistics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F770A3" w:rsidRPr="00F770A3" w:rsidTr="00F770A3">
        <w:tc>
          <w:tcPr>
            <w:tcW w:w="0" w:type="auto"/>
            <w:shd w:val="clear" w:color="auto" w:fill="FFFFFF"/>
            <w:vAlign w:val="center"/>
            <w:hideMark/>
          </w:tcPr>
          <w:p w:rsidR="00F770A3" w:rsidRPr="00F770A3" w:rsidRDefault="00F770A3" w:rsidP="00F770A3">
            <w:pPr>
              <w:spacing w:before="150" w:after="100" w:afterAutospacing="1" w:line="240" w:lineRule="auto"/>
              <w:rPr>
                <w:rFonts w:ascii="Calibri" w:eastAsia="Times New Roman" w:hAnsi="Calibri" w:cs="Arial"/>
                <w:color w:val="000000"/>
              </w:rPr>
            </w:pPr>
            <w:r w:rsidRPr="00F770A3">
              <w:rPr>
                <w:rFonts w:ascii="Calibri" w:eastAsia="Times New Roman" w:hAnsi="Calibri" w:cs="Arial"/>
                <w:color w:val="000000"/>
              </w:rPr>
              <w:t>AHA Hospital Statistics is published annually by Health Forum, an affiliate of the</w:t>
            </w:r>
            <w:r w:rsidR="003A1DF5">
              <w:rPr>
                <w:rFonts w:ascii="Calibri" w:eastAsia="Times New Roman" w:hAnsi="Calibri" w:cs="Arial"/>
                <w:color w:val="000000"/>
              </w:rPr>
              <w:t xml:space="preserve"> American Hospital Association.</w:t>
            </w:r>
            <w:r w:rsidRPr="00F770A3">
              <w:rPr>
                <w:rFonts w:ascii="Calibri" w:eastAsia="Times New Roman" w:hAnsi="Calibri" w:cs="Arial"/>
                <w:color w:val="000000"/>
              </w:rPr>
              <w:t xml:space="preserve"> Additional details on AHA Hospital Statistics, including order information, are available at </w:t>
            </w:r>
            <w:hyperlink r:id="rId7" w:history="1">
              <w:r w:rsidR="002441B2" w:rsidRPr="00A155B1">
                <w:rPr>
                  <w:rStyle w:val="Hyperlink"/>
                  <w:rFonts w:ascii="Calibri" w:eastAsia="Times New Roman" w:hAnsi="Calibri" w:cs="Arial"/>
                </w:rPr>
                <w:t>https://www.aha.org/statistics/fast-facts-us-hospitals</w:t>
              </w:r>
            </w:hyperlink>
            <w:r w:rsidR="002441B2">
              <w:rPr>
                <w:rFonts w:ascii="Calibri" w:eastAsia="Times New Roman" w:hAnsi="Calibri" w:cs="Arial"/>
                <w:color w:val="1291E0"/>
                <w:u w:val="single"/>
              </w:rPr>
              <w:t xml:space="preserve"> </w:t>
            </w:r>
          </w:p>
          <w:p w:rsidR="00F770A3" w:rsidRDefault="00F770A3" w:rsidP="00F770A3">
            <w:pPr>
              <w:spacing w:before="150" w:after="100" w:afterAutospacing="1" w:line="240" w:lineRule="auto"/>
              <w:rPr>
                <w:rFonts w:ascii="Calibri" w:eastAsia="Times New Roman" w:hAnsi="Calibri" w:cs="Arial"/>
                <w:color w:val="000000"/>
              </w:rPr>
            </w:pPr>
            <w:r w:rsidRPr="00F770A3">
              <w:rPr>
                <w:rFonts w:ascii="Calibri" w:eastAsia="Times New Roman" w:hAnsi="Calibri" w:cs="Arial"/>
                <w:color w:val="000000"/>
              </w:rPr>
              <w:t>For further information or customized data and research, contact the AHA Resource Center at (312) 422-2050 or </w:t>
            </w:r>
            <w:hyperlink r:id="rId8" w:history="1">
              <w:r w:rsidRPr="00F770A3">
                <w:rPr>
                  <w:rFonts w:ascii="Calibri" w:eastAsia="Times New Roman" w:hAnsi="Calibri" w:cs="Arial"/>
                  <w:color w:val="1291E0"/>
                  <w:u w:val="single"/>
                </w:rPr>
                <w:t>rc@aha.org</w:t>
              </w:r>
            </w:hyperlink>
            <w:r w:rsidRPr="00F770A3">
              <w:rPr>
                <w:rFonts w:ascii="Calibri" w:eastAsia="Times New Roman" w:hAnsi="Calibri" w:cs="Arial"/>
                <w:color w:val="000000"/>
              </w:rPr>
              <w:t>.</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160"/>
              <w:gridCol w:w="2184"/>
            </w:tblGrid>
            <w:tr w:rsidR="002441B2" w:rsidTr="002441B2">
              <w:tc>
                <w:tcPr>
                  <w:tcW w:w="40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75"/>
                    <w:rPr>
                      <w:rFonts w:ascii="Helvetica" w:hAnsi="Helvetica" w:cs="Helvetica"/>
                      <w:color w:val="333333"/>
                      <w:sz w:val="21"/>
                      <w:szCs w:val="21"/>
                    </w:rPr>
                  </w:pPr>
                  <w:r>
                    <w:rPr>
                      <w:rStyle w:val="Strong"/>
                      <w:rFonts w:ascii="Helvetica" w:hAnsi="Helvetica" w:cs="Helvetica"/>
                      <w:color w:val="333333"/>
                      <w:sz w:val="21"/>
                      <w:szCs w:val="21"/>
                    </w:rPr>
                    <w:t>Total Number of All U.S.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6,210</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375"/>
                    <w:rPr>
                      <w:rFonts w:ascii="Helvetica" w:hAnsi="Helvetica" w:cs="Helvetica"/>
                      <w:color w:val="333333"/>
                      <w:sz w:val="21"/>
                      <w:szCs w:val="21"/>
                    </w:rPr>
                  </w:pPr>
                  <w:r>
                    <w:rPr>
                      <w:rFonts w:ascii="Helvetica" w:hAnsi="Helvetica" w:cs="Helvetica"/>
                      <w:color w:val="333333"/>
                      <w:sz w:val="21"/>
                      <w:szCs w:val="21"/>
                    </w:rPr>
                    <w:t>Number of U.S. </w:t>
                  </w:r>
                  <w:hyperlink r:id="rId9" w:anchor="community" w:history="1">
                    <w:r>
                      <w:rPr>
                        <w:rStyle w:val="Strong"/>
                        <w:rFonts w:ascii="Helvetica" w:hAnsi="Helvetica" w:cs="Helvetica"/>
                        <w:color w:val="1291E0"/>
                        <w:sz w:val="21"/>
                        <w:szCs w:val="21"/>
                      </w:rPr>
                      <w:t>Community</w:t>
                    </w:r>
                  </w:hyperlink>
                  <w:r>
                    <w:rPr>
                      <w:rFonts w:ascii="Helvetica" w:hAnsi="Helvetica" w:cs="Helvetica"/>
                      <w:color w:val="777777"/>
                      <w:sz w:val="16"/>
                      <w:szCs w:val="16"/>
                      <w:vertAlign w:val="superscript"/>
                    </w:rPr>
                    <w:t> 1</w:t>
                  </w:r>
                  <w:r>
                    <w:rPr>
                      <w:rFonts w:ascii="Helvetica" w:hAnsi="Helvetica" w:cs="Helvetica"/>
                      <w:color w:val="333333"/>
                      <w:sz w:val="21"/>
                      <w:szCs w:val="21"/>
                    </w:rPr>
                    <w:t>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5,262</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675"/>
                    <w:rPr>
                      <w:rFonts w:ascii="Helvetica" w:hAnsi="Helvetica" w:cs="Helvetica"/>
                      <w:color w:val="333333"/>
                      <w:sz w:val="21"/>
                      <w:szCs w:val="21"/>
                    </w:rPr>
                  </w:pPr>
                  <w:r>
                    <w:rPr>
                      <w:rFonts w:ascii="Helvetica" w:hAnsi="Helvetica" w:cs="Helvetica"/>
                      <w:color w:val="333333"/>
                      <w:sz w:val="21"/>
                      <w:szCs w:val="21"/>
                    </w:rPr>
                    <w:t>Number of Nongovernment Not-for-Profit Community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2,968</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675"/>
                    <w:rPr>
                      <w:rFonts w:ascii="Helvetica" w:hAnsi="Helvetica" w:cs="Helvetica"/>
                      <w:color w:val="333333"/>
                      <w:sz w:val="21"/>
                      <w:szCs w:val="21"/>
                    </w:rPr>
                  </w:pPr>
                  <w:r>
                    <w:rPr>
                      <w:rFonts w:ascii="Helvetica" w:hAnsi="Helvetica" w:cs="Helvetica"/>
                      <w:color w:val="333333"/>
                      <w:sz w:val="21"/>
                      <w:szCs w:val="21"/>
                    </w:rPr>
                    <w:t>Number of Investor-Owned (For-Profit) Community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1,322</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675"/>
                    <w:rPr>
                      <w:rFonts w:ascii="Helvetica" w:hAnsi="Helvetica" w:cs="Helvetica"/>
                      <w:color w:val="333333"/>
                      <w:sz w:val="21"/>
                      <w:szCs w:val="21"/>
                    </w:rPr>
                  </w:pPr>
                  <w:r>
                    <w:rPr>
                      <w:rFonts w:ascii="Helvetica" w:hAnsi="Helvetica" w:cs="Helvetica"/>
                      <w:color w:val="333333"/>
                      <w:sz w:val="21"/>
                      <w:szCs w:val="21"/>
                    </w:rPr>
                    <w:t>Number of State and Local Government Community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972</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375"/>
                    <w:rPr>
                      <w:rFonts w:ascii="Helvetica" w:hAnsi="Helvetica" w:cs="Helvetica"/>
                      <w:color w:val="333333"/>
                      <w:sz w:val="21"/>
                      <w:szCs w:val="21"/>
                    </w:rPr>
                  </w:pPr>
                  <w:r>
                    <w:rPr>
                      <w:rFonts w:ascii="Helvetica" w:hAnsi="Helvetica" w:cs="Helvetica"/>
                      <w:color w:val="333333"/>
                      <w:sz w:val="21"/>
                      <w:szCs w:val="21"/>
                    </w:rPr>
                    <w:t>Number of Federal Government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208</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375"/>
                    <w:rPr>
                      <w:rFonts w:ascii="Helvetica" w:hAnsi="Helvetica" w:cs="Helvetica"/>
                      <w:color w:val="333333"/>
                      <w:sz w:val="21"/>
                      <w:szCs w:val="21"/>
                    </w:rPr>
                  </w:pPr>
                  <w:r>
                    <w:rPr>
                      <w:rFonts w:ascii="Helvetica" w:hAnsi="Helvetica" w:cs="Helvetica"/>
                      <w:color w:val="333333"/>
                      <w:sz w:val="21"/>
                      <w:szCs w:val="21"/>
                    </w:rPr>
                    <w:t>Number of Nonfederal Psychiatric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620</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147061" w:rsidP="002441B2">
                  <w:pPr>
                    <w:pStyle w:val="NormalWeb"/>
                    <w:spacing w:before="150" w:beforeAutospacing="0" w:after="150" w:afterAutospacing="0"/>
                    <w:ind w:left="375"/>
                    <w:rPr>
                      <w:rFonts w:ascii="Helvetica" w:hAnsi="Helvetica" w:cs="Helvetica"/>
                      <w:color w:val="333333"/>
                      <w:sz w:val="21"/>
                      <w:szCs w:val="21"/>
                    </w:rPr>
                  </w:pPr>
                  <w:hyperlink r:id="rId10" w:anchor="other" w:history="1">
                    <w:r w:rsidR="002441B2">
                      <w:rPr>
                        <w:rStyle w:val="Hyperlink"/>
                        <w:rFonts w:ascii="Helvetica" w:hAnsi="Helvetica" w:cs="Helvetica"/>
                        <w:b/>
                        <w:bCs/>
                        <w:color w:val="1291E0"/>
                        <w:sz w:val="21"/>
                        <w:szCs w:val="21"/>
                      </w:rPr>
                      <w:t>Other</w:t>
                    </w:r>
                  </w:hyperlink>
                  <w:r w:rsidR="002441B2">
                    <w:rPr>
                      <w:rFonts w:ascii="Helvetica" w:hAnsi="Helvetica" w:cs="Helvetica"/>
                      <w:color w:val="777777"/>
                      <w:sz w:val="16"/>
                      <w:szCs w:val="16"/>
                      <w:vertAlign w:val="superscript"/>
                    </w:rPr>
                    <w:t> 2</w:t>
                  </w:r>
                  <w:r w:rsidR="002441B2">
                    <w:rPr>
                      <w:rFonts w:ascii="Helvetica" w:hAnsi="Helvetica" w:cs="Helvetica"/>
                      <w:color w:val="333333"/>
                      <w:sz w:val="21"/>
                      <w:szCs w:val="21"/>
                    </w:rPr>
                    <w:t>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120</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75"/>
                    <w:rPr>
                      <w:rFonts w:ascii="Helvetica" w:hAnsi="Helvetica" w:cs="Helvetica"/>
                      <w:color w:val="333333"/>
                      <w:sz w:val="21"/>
                      <w:szCs w:val="21"/>
                    </w:rPr>
                  </w:pPr>
                  <w:r>
                    <w:rPr>
                      <w:rStyle w:val="Strong"/>
                      <w:rFonts w:ascii="Helvetica" w:hAnsi="Helvetica" w:cs="Helvetica"/>
                      <w:color w:val="333333"/>
                      <w:sz w:val="21"/>
                      <w:szCs w:val="21"/>
                    </w:rPr>
                    <w:t>Total Staffed Beds in All U.S.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931,203</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375"/>
                    <w:rPr>
                      <w:rFonts w:ascii="Helvetica" w:hAnsi="Helvetica" w:cs="Helvetica"/>
                      <w:color w:val="333333"/>
                      <w:sz w:val="21"/>
                      <w:szCs w:val="21"/>
                    </w:rPr>
                  </w:pPr>
                  <w:r>
                    <w:rPr>
                      <w:rFonts w:ascii="Helvetica" w:hAnsi="Helvetica" w:cs="Helvetica"/>
                      <w:color w:val="333333"/>
                      <w:sz w:val="21"/>
                      <w:szCs w:val="21"/>
                    </w:rPr>
                    <w:t>Staffed Beds in Community</w:t>
                  </w:r>
                  <w:r>
                    <w:rPr>
                      <w:rFonts w:ascii="Helvetica" w:hAnsi="Helvetica" w:cs="Helvetica"/>
                      <w:color w:val="777777"/>
                      <w:sz w:val="16"/>
                      <w:szCs w:val="16"/>
                      <w:vertAlign w:val="superscript"/>
                    </w:rPr>
                    <w:t> 1</w:t>
                  </w:r>
                  <w:r>
                    <w:rPr>
                      <w:rFonts w:ascii="Helvetica" w:hAnsi="Helvetica" w:cs="Helvetica"/>
                      <w:color w:val="333333"/>
                      <w:sz w:val="21"/>
                      <w:szCs w:val="21"/>
                    </w:rPr>
                    <w:t>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798,921</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75"/>
                    <w:rPr>
                      <w:rFonts w:ascii="Helvetica" w:hAnsi="Helvetica" w:cs="Helvetica"/>
                      <w:color w:val="333333"/>
                      <w:sz w:val="21"/>
                      <w:szCs w:val="21"/>
                    </w:rPr>
                  </w:pPr>
                  <w:r>
                    <w:rPr>
                      <w:rStyle w:val="Strong"/>
                      <w:rFonts w:ascii="Helvetica" w:hAnsi="Helvetica" w:cs="Helvetica"/>
                      <w:color w:val="333333"/>
                      <w:sz w:val="21"/>
                      <w:szCs w:val="21"/>
                    </w:rPr>
                    <w:t>Total Admissions in All U.S.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36,510,207</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375"/>
                    <w:rPr>
                      <w:rFonts w:ascii="Helvetica" w:hAnsi="Helvetica" w:cs="Helvetica"/>
                      <w:color w:val="333333"/>
                      <w:sz w:val="21"/>
                      <w:szCs w:val="21"/>
                    </w:rPr>
                  </w:pPr>
                  <w:r>
                    <w:rPr>
                      <w:rFonts w:ascii="Helvetica" w:hAnsi="Helvetica" w:cs="Helvetica"/>
                      <w:color w:val="333333"/>
                      <w:sz w:val="21"/>
                      <w:szCs w:val="21"/>
                    </w:rPr>
                    <w:t>Admissions in Community</w:t>
                  </w:r>
                  <w:r>
                    <w:rPr>
                      <w:rFonts w:ascii="Helvetica" w:hAnsi="Helvetica" w:cs="Helvetica"/>
                      <w:color w:val="777777"/>
                      <w:sz w:val="16"/>
                      <w:szCs w:val="16"/>
                      <w:vertAlign w:val="superscript"/>
                    </w:rPr>
                    <w:t> 1</w:t>
                  </w:r>
                  <w:r>
                    <w:rPr>
                      <w:rFonts w:ascii="Helvetica" w:hAnsi="Helvetica" w:cs="Helvetica"/>
                      <w:color w:val="333333"/>
                      <w:sz w:val="21"/>
                      <w:szCs w:val="21"/>
                    </w:rPr>
                    <w:t>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34,305,620</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75"/>
                    <w:rPr>
                      <w:rFonts w:ascii="Helvetica" w:hAnsi="Helvetica" w:cs="Helvetica"/>
                      <w:color w:val="333333"/>
                      <w:sz w:val="21"/>
                      <w:szCs w:val="21"/>
                    </w:rPr>
                  </w:pPr>
                  <w:r>
                    <w:rPr>
                      <w:rStyle w:val="Strong"/>
                      <w:rFonts w:ascii="Helvetica" w:hAnsi="Helvetica" w:cs="Helvetica"/>
                      <w:color w:val="333333"/>
                      <w:sz w:val="21"/>
                      <w:szCs w:val="21"/>
                    </w:rPr>
                    <w:t>Total Expenses for All U.S.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$1,060,933,249,000</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375"/>
                    <w:rPr>
                      <w:rFonts w:ascii="Helvetica" w:hAnsi="Helvetica" w:cs="Helvetica"/>
                      <w:color w:val="333333"/>
                      <w:sz w:val="21"/>
                      <w:szCs w:val="21"/>
                    </w:rPr>
                  </w:pPr>
                  <w:r>
                    <w:rPr>
                      <w:rFonts w:ascii="Helvetica" w:hAnsi="Helvetica" w:cs="Helvetica"/>
                      <w:color w:val="333333"/>
                      <w:sz w:val="21"/>
                      <w:szCs w:val="21"/>
                    </w:rPr>
                    <w:t>Expenses for Community</w:t>
                  </w:r>
                  <w:r>
                    <w:rPr>
                      <w:rFonts w:ascii="Helvetica" w:hAnsi="Helvetica" w:cs="Helvetica"/>
                      <w:color w:val="777777"/>
                      <w:sz w:val="16"/>
                      <w:szCs w:val="16"/>
                      <w:vertAlign w:val="superscript"/>
                    </w:rPr>
                    <w:t> 1</w:t>
                  </w:r>
                  <w:r>
                    <w:rPr>
                      <w:rFonts w:ascii="Helvetica" w:hAnsi="Helvetica" w:cs="Helvetica"/>
                      <w:color w:val="333333"/>
                      <w:sz w:val="21"/>
                      <w:szCs w:val="21"/>
                    </w:rPr>
                    <w:t> 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$966,204,239,000</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75"/>
                    <w:rPr>
                      <w:rFonts w:ascii="Helvetica" w:hAnsi="Helvetica" w:cs="Helvetica"/>
                      <w:color w:val="333333"/>
                      <w:sz w:val="21"/>
                      <w:szCs w:val="21"/>
                    </w:rPr>
                  </w:pPr>
                  <w:r>
                    <w:rPr>
                      <w:rStyle w:val="Strong"/>
                      <w:rFonts w:ascii="Helvetica" w:hAnsi="Helvetica" w:cs="Helvetica"/>
                      <w:color w:val="333333"/>
                      <w:sz w:val="21"/>
                      <w:szCs w:val="21"/>
                    </w:rPr>
                    <w:t>Number of Rural Community</w:t>
                  </w:r>
                  <w:r>
                    <w:rPr>
                      <w:rFonts w:ascii="Helvetica" w:hAnsi="Helvetica" w:cs="Helvetica"/>
                      <w:color w:val="777777"/>
                      <w:sz w:val="16"/>
                      <w:szCs w:val="16"/>
                      <w:vertAlign w:val="superscript"/>
                    </w:rPr>
                    <w:t> </w:t>
                  </w:r>
                  <w:r>
                    <w:rPr>
                      <w:rStyle w:val="Strong"/>
                      <w:rFonts w:ascii="Helvetica" w:hAnsi="Helvetica" w:cs="Helvetica"/>
                      <w:color w:val="333333"/>
                      <w:sz w:val="21"/>
                      <w:szCs w:val="21"/>
                    </w:rPr>
                    <w:t>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1,875</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75"/>
                    <w:rPr>
                      <w:rFonts w:ascii="Helvetica" w:hAnsi="Helvetica" w:cs="Helvetica"/>
                      <w:color w:val="333333"/>
                      <w:sz w:val="21"/>
                      <w:szCs w:val="21"/>
                    </w:rPr>
                  </w:pPr>
                  <w:r>
                    <w:rPr>
                      <w:rStyle w:val="Strong"/>
                      <w:rFonts w:ascii="Helvetica" w:hAnsi="Helvetica" w:cs="Helvetica"/>
                      <w:color w:val="333333"/>
                      <w:sz w:val="21"/>
                      <w:szCs w:val="21"/>
                    </w:rPr>
                    <w:t>Number of Urban Community</w:t>
                  </w:r>
                  <w:r>
                    <w:rPr>
                      <w:rFonts w:ascii="Helvetica" w:hAnsi="Helvetica" w:cs="Helvetica"/>
                      <w:color w:val="777777"/>
                      <w:sz w:val="16"/>
                      <w:szCs w:val="16"/>
                      <w:vertAlign w:val="superscript"/>
                    </w:rPr>
                    <w:t> </w:t>
                  </w:r>
                  <w:r>
                    <w:rPr>
                      <w:rStyle w:val="Strong"/>
                      <w:rFonts w:ascii="Helvetica" w:hAnsi="Helvetica" w:cs="Helvetica"/>
                      <w:color w:val="333333"/>
                      <w:sz w:val="21"/>
                      <w:szCs w:val="21"/>
                    </w:rPr>
                    <w:t>Hospitals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3,387</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75"/>
                    <w:rPr>
                      <w:rFonts w:ascii="Helvetica" w:hAnsi="Helvetica" w:cs="Helvetica"/>
                      <w:color w:val="333333"/>
                      <w:sz w:val="21"/>
                      <w:szCs w:val="21"/>
                    </w:rPr>
                  </w:pPr>
                  <w:r>
                    <w:rPr>
                      <w:rStyle w:val="Strong"/>
                      <w:rFonts w:ascii="Helvetica" w:hAnsi="Helvetica" w:cs="Helvetica"/>
                      <w:color w:val="333333"/>
                      <w:sz w:val="21"/>
                      <w:szCs w:val="21"/>
                    </w:rPr>
                    <w:t>Number of Community Hospitals in a </w:t>
                  </w:r>
                  <w:hyperlink r:id="rId11" w:anchor="system" w:history="1">
                    <w:r>
                      <w:rPr>
                        <w:rStyle w:val="Strong"/>
                        <w:rFonts w:ascii="Helvetica" w:hAnsi="Helvetica" w:cs="Helvetica"/>
                        <w:color w:val="1291E0"/>
                        <w:sz w:val="21"/>
                        <w:szCs w:val="21"/>
                      </w:rPr>
                      <w:t>System</w:t>
                    </w:r>
                  </w:hyperlink>
                  <w:r>
                    <w:rPr>
                      <w:rFonts w:ascii="Helvetica" w:hAnsi="Helvetica" w:cs="Helvetica"/>
                      <w:color w:val="777777"/>
                      <w:sz w:val="16"/>
                      <w:szCs w:val="16"/>
                      <w:vertAlign w:val="superscript"/>
                    </w:rPr>
                    <w:t> 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3,494</w:t>
                  </w:r>
                </w:p>
              </w:tc>
            </w:tr>
            <w:tr w:rsidR="002441B2" w:rsidTr="002441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left="75"/>
                    <w:rPr>
                      <w:rFonts w:ascii="Helvetica" w:hAnsi="Helvetica" w:cs="Helvetica"/>
                      <w:color w:val="333333"/>
                      <w:sz w:val="21"/>
                      <w:szCs w:val="21"/>
                    </w:rPr>
                  </w:pPr>
                  <w:r>
                    <w:rPr>
                      <w:rStyle w:val="Strong"/>
                      <w:rFonts w:ascii="Helvetica" w:hAnsi="Helvetica" w:cs="Helvetica"/>
                      <w:color w:val="333333"/>
                      <w:sz w:val="21"/>
                      <w:szCs w:val="21"/>
                    </w:rPr>
                    <w:t>Number of Community Hospitals in a </w:t>
                  </w:r>
                  <w:hyperlink r:id="rId12" w:anchor="network" w:history="1">
                    <w:r>
                      <w:rPr>
                        <w:rStyle w:val="Strong"/>
                        <w:rFonts w:ascii="Helvetica" w:hAnsi="Helvetica" w:cs="Helvetica"/>
                        <w:color w:val="1291E0"/>
                        <w:sz w:val="21"/>
                        <w:szCs w:val="21"/>
                      </w:rPr>
                      <w:t>Network</w:t>
                    </w:r>
                  </w:hyperlink>
                  <w:r>
                    <w:rPr>
                      <w:rFonts w:ascii="Helvetica" w:hAnsi="Helvetica" w:cs="Helvetica"/>
                      <w:color w:val="777777"/>
                      <w:sz w:val="16"/>
                      <w:szCs w:val="16"/>
                      <w:vertAlign w:val="superscript"/>
                    </w:rPr>
                    <w:t> 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441B2" w:rsidRDefault="002441B2" w:rsidP="002441B2">
                  <w:pPr>
                    <w:pStyle w:val="NormalWeb"/>
                    <w:spacing w:before="150" w:beforeAutospacing="0" w:after="150" w:afterAutospacing="0"/>
                    <w:ind w:right="75"/>
                    <w:jc w:val="right"/>
                    <w:rPr>
                      <w:rFonts w:ascii="Helvetica" w:hAnsi="Helvetica" w:cs="Helvetica"/>
                      <w:color w:val="333333"/>
                      <w:sz w:val="21"/>
                      <w:szCs w:val="21"/>
                    </w:rPr>
                  </w:pPr>
                  <w:r>
                    <w:rPr>
                      <w:rFonts w:ascii="Helvetica" w:hAnsi="Helvetica" w:cs="Helvetica"/>
                      <w:color w:val="333333"/>
                      <w:sz w:val="21"/>
                      <w:szCs w:val="21"/>
                    </w:rPr>
                    <w:t>1,749</w:t>
                  </w:r>
                </w:p>
              </w:tc>
            </w:tr>
          </w:tbl>
          <w:p w:rsidR="002441B2" w:rsidRPr="00F770A3" w:rsidRDefault="002441B2" w:rsidP="00F770A3">
            <w:pPr>
              <w:spacing w:before="150" w:after="100" w:afterAutospacing="1" w:line="240" w:lineRule="auto"/>
              <w:rPr>
                <w:rFonts w:ascii="Calibri" w:eastAsia="Times New Roman" w:hAnsi="Calibri" w:cs="Arial"/>
                <w:color w:val="000000"/>
              </w:rPr>
            </w:pPr>
          </w:p>
        </w:tc>
      </w:tr>
    </w:tbl>
    <w:p w:rsidR="00F770A3" w:rsidRDefault="00F770A3" w:rsidP="00F770A3">
      <w:pPr>
        <w:spacing w:after="0" w:line="240" w:lineRule="auto"/>
        <w:rPr>
          <w:rFonts w:ascii="Calibri" w:eastAsia="Times New Roman" w:hAnsi="Calibri" w:cs="Times New Roman"/>
        </w:rPr>
      </w:pPr>
    </w:p>
    <w:p w:rsidR="002441B2" w:rsidRPr="00F770A3" w:rsidRDefault="002441B2" w:rsidP="00F770A3">
      <w:pPr>
        <w:spacing w:after="0" w:line="240" w:lineRule="auto"/>
        <w:rPr>
          <w:rFonts w:ascii="Calibri" w:eastAsia="Times New Roman" w:hAnsi="Calibri" w:cs="Times New Roman"/>
          <w:vanish/>
        </w:rPr>
      </w:pPr>
    </w:p>
    <w:p w:rsidR="002441B2" w:rsidRPr="002441B2" w:rsidRDefault="002441B2" w:rsidP="002441B2">
      <w:pPr>
        <w:shd w:val="clear" w:color="auto" w:fill="FFFFFF"/>
        <w:spacing w:after="150" w:line="240" w:lineRule="auto"/>
        <w:rPr>
          <w:rFonts w:ascii="Helvetica" w:eastAsia="Times New Roman" w:hAnsi="Helvetica" w:cs="Helvetica"/>
          <w:color w:val="333333"/>
          <w:sz w:val="21"/>
          <w:szCs w:val="21"/>
        </w:rPr>
      </w:pPr>
      <w:bookmarkStart w:id="1" w:name="registered"/>
      <w:bookmarkEnd w:id="1"/>
      <w:r w:rsidRPr="002441B2">
        <w:rPr>
          <w:rFonts w:ascii="Helvetica" w:eastAsia="Times New Roman" w:hAnsi="Helvetica" w:cs="Helvetica"/>
          <w:color w:val="333333"/>
          <w:sz w:val="16"/>
          <w:szCs w:val="16"/>
          <w:vertAlign w:val="superscript"/>
        </w:rPr>
        <w:t>1 </w:t>
      </w:r>
      <w:r w:rsidRPr="002441B2">
        <w:rPr>
          <w:rFonts w:ascii="Helvetica" w:eastAsia="Times New Roman" w:hAnsi="Helvetica" w:cs="Helvetica"/>
          <w:b/>
          <w:bCs/>
          <w:color w:val="333333"/>
          <w:sz w:val="21"/>
          <w:szCs w:val="21"/>
        </w:rPr>
        <w:t>Community</w:t>
      </w:r>
      <w:r w:rsidRPr="002441B2">
        <w:rPr>
          <w:rFonts w:ascii="Helvetica" w:eastAsia="Times New Roman" w:hAnsi="Helvetica" w:cs="Helvetica"/>
          <w:color w:val="333333"/>
          <w:sz w:val="21"/>
          <w:szCs w:val="21"/>
        </w:rPr>
        <w:t> </w:t>
      </w:r>
      <w:r w:rsidRPr="002441B2">
        <w:rPr>
          <w:rFonts w:ascii="Helvetica" w:eastAsia="Times New Roman" w:hAnsi="Helvetica" w:cs="Helvetica"/>
          <w:b/>
          <w:bCs/>
          <w:color w:val="333333"/>
          <w:sz w:val="21"/>
          <w:szCs w:val="21"/>
        </w:rPr>
        <w:t>hospitals </w:t>
      </w:r>
      <w:r w:rsidRPr="002441B2">
        <w:rPr>
          <w:rFonts w:ascii="Helvetica" w:eastAsia="Times New Roman" w:hAnsi="Helvetica" w:cs="Helvetica"/>
          <w:color w:val="333333"/>
          <w:sz w:val="21"/>
          <w:szCs w:val="21"/>
        </w:rPr>
        <w:t>are defined as all nonfederal, short-term general, and other special hospitals. Other special hospitals include obstetrics and gynecology; eye, ear, nose, and throat; long term acute-care; rehabilitation; orthopedic; and other individually described specialty services. Community hospitals include academic medical centers or other teaching hospitals if they are nonfederal short-term hospitals.  Excluded are hospitals not accessible by the general public, such as prison hospitals or college infirmaries.</w:t>
      </w:r>
    </w:p>
    <w:p w:rsidR="002441B2" w:rsidRPr="002441B2" w:rsidRDefault="002441B2" w:rsidP="002441B2">
      <w:pPr>
        <w:shd w:val="clear" w:color="auto" w:fill="FFFFFF"/>
        <w:spacing w:after="150" w:line="240" w:lineRule="auto"/>
        <w:rPr>
          <w:rFonts w:ascii="Helvetica" w:eastAsia="Times New Roman" w:hAnsi="Helvetica" w:cs="Helvetica"/>
          <w:color w:val="333333"/>
          <w:sz w:val="21"/>
          <w:szCs w:val="21"/>
        </w:rPr>
      </w:pPr>
      <w:r w:rsidRPr="002441B2">
        <w:rPr>
          <w:rFonts w:ascii="Helvetica" w:eastAsia="Times New Roman" w:hAnsi="Helvetica" w:cs="Helvetica"/>
          <w:color w:val="333333"/>
          <w:sz w:val="16"/>
          <w:szCs w:val="16"/>
          <w:vertAlign w:val="superscript"/>
        </w:rPr>
        <w:t>2 </w:t>
      </w:r>
      <w:r w:rsidRPr="002441B2">
        <w:rPr>
          <w:rFonts w:ascii="Helvetica" w:eastAsia="Times New Roman" w:hAnsi="Helvetica" w:cs="Helvetica"/>
          <w:b/>
          <w:bCs/>
          <w:color w:val="333333"/>
          <w:sz w:val="21"/>
          <w:szCs w:val="21"/>
        </w:rPr>
        <w:t>Other hospitals </w:t>
      </w:r>
      <w:r w:rsidRPr="002441B2">
        <w:rPr>
          <w:rFonts w:ascii="Helvetica" w:eastAsia="Times New Roman" w:hAnsi="Helvetica" w:cs="Helvetica"/>
          <w:color w:val="333333"/>
          <w:sz w:val="21"/>
          <w:szCs w:val="21"/>
        </w:rPr>
        <w:t>include nonfederal long term care hospitals and hospital units within an institution such as a prison hospital or school infirmary. Long term care hospitals may be defined by different methods; here they include other hospitals with an average length of stay of 30 or more days.</w:t>
      </w:r>
    </w:p>
    <w:p w:rsidR="002441B2" w:rsidRPr="002441B2" w:rsidRDefault="002441B2" w:rsidP="002441B2">
      <w:pPr>
        <w:shd w:val="clear" w:color="auto" w:fill="FFFFFF"/>
        <w:spacing w:after="150" w:line="240" w:lineRule="auto"/>
        <w:rPr>
          <w:rFonts w:ascii="Helvetica" w:eastAsia="Times New Roman" w:hAnsi="Helvetica" w:cs="Helvetica"/>
          <w:color w:val="333333"/>
          <w:sz w:val="21"/>
          <w:szCs w:val="21"/>
        </w:rPr>
      </w:pPr>
      <w:r w:rsidRPr="002441B2">
        <w:rPr>
          <w:rFonts w:ascii="Helvetica" w:eastAsia="Times New Roman" w:hAnsi="Helvetica" w:cs="Helvetica"/>
          <w:color w:val="333333"/>
          <w:sz w:val="16"/>
          <w:szCs w:val="16"/>
          <w:vertAlign w:val="superscript"/>
        </w:rPr>
        <w:t>3 </w:t>
      </w:r>
      <w:r w:rsidRPr="002441B2">
        <w:rPr>
          <w:rFonts w:ascii="Helvetica" w:eastAsia="Times New Roman" w:hAnsi="Helvetica" w:cs="Helvetica"/>
          <w:b/>
          <w:bCs/>
          <w:color w:val="333333"/>
          <w:sz w:val="21"/>
          <w:szCs w:val="21"/>
        </w:rPr>
        <w:t>System</w:t>
      </w:r>
      <w:r w:rsidRPr="002441B2">
        <w:rPr>
          <w:rFonts w:ascii="Helvetica" w:eastAsia="Times New Roman" w:hAnsi="Helvetica" w:cs="Helvetica"/>
          <w:color w:val="333333"/>
          <w:sz w:val="21"/>
          <w:szCs w:val="21"/>
        </w:rPr>
        <w:t xml:space="preserve"> is defined by AHA as either a multihospital or a diversified single hospital system. A multihospital system is two or more hospitals owned, leased, sponsored, or contract managed by a central organization. Single, freestanding hospitals may be categorized as a system by bringing into membership three or more, and at least 25 percent, of their owned or leased non-hospital </w:t>
      </w:r>
      <w:proofErr w:type="spellStart"/>
      <w:r w:rsidRPr="002441B2">
        <w:rPr>
          <w:rFonts w:ascii="Helvetica" w:eastAsia="Times New Roman" w:hAnsi="Helvetica" w:cs="Helvetica"/>
          <w:color w:val="333333"/>
          <w:sz w:val="21"/>
          <w:szCs w:val="21"/>
        </w:rPr>
        <w:t>preacute</w:t>
      </w:r>
      <w:proofErr w:type="spellEnd"/>
      <w:r w:rsidRPr="002441B2">
        <w:rPr>
          <w:rFonts w:ascii="Helvetica" w:eastAsia="Times New Roman" w:hAnsi="Helvetica" w:cs="Helvetica"/>
          <w:color w:val="333333"/>
          <w:sz w:val="21"/>
          <w:szCs w:val="21"/>
        </w:rPr>
        <w:t xml:space="preserve"> or </w:t>
      </w:r>
      <w:proofErr w:type="spellStart"/>
      <w:r w:rsidRPr="002441B2">
        <w:rPr>
          <w:rFonts w:ascii="Helvetica" w:eastAsia="Times New Roman" w:hAnsi="Helvetica" w:cs="Helvetica"/>
          <w:color w:val="333333"/>
          <w:sz w:val="21"/>
          <w:szCs w:val="21"/>
        </w:rPr>
        <w:t>postacute</w:t>
      </w:r>
      <w:proofErr w:type="spellEnd"/>
      <w:r w:rsidRPr="002441B2">
        <w:rPr>
          <w:rFonts w:ascii="Helvetica" w:eastAsia="Times New Roman" w:hAnsi="Helvetica" w:cs="Helvetica"/>
          <w:color w:val="333333"/>
          <w:sz w:val="21"/>
          <w:szCs w:val="21"/>
        </w:rPr>
        <w:t xml:space="preserve"> health care organizations. System affiliation does not preclude network participation.</w:t>
      </w:r>
    </w:p>
    <w:p w:rsidR="002441B2" w:rsidRPr="002441B2" w:rsidRDefault="002441B2" w:rsidP="002441B2">
      <w:pPr>
        <w:shd w:val="clear" w:color="auto" w:fill="FFFFFF"/>
        <w:spacing w:after="150" w:line="240" w:lineRule="auto"/>
        <w:rPr>
          <w:rFonts w:ascii="Helvetica" w:eastAsia="Times New Roman" w:hAnsi="Helvetica" w:cs="Helvetica"/>
          <w:color w:val="333333"/>
          <w:sz w:val="21"/>
          <w:szCs w:val="21"/>
        </w:rPr>
      </w:pPr>
      <w:r w:rsidRPr="002441B2">
        <w:rPr>
          <w:rFonts w:ascii="Helvetica" w:eastAsia="Times New Roman" w:hAnsi="Helvetica" w:cs="Helvetica"/>
          <w:color w:val="333333"/>
          <w:sz w:val="16"/>
          <w:szCs w:val="16"/>
          <w:vertAlign w:val="superscript"/>
        </w:rPr>
        <w:t>4 </w:t>
      </w:r>
      <w:r w:rsidRPr="002441B2">
        <w:rPr>
          <w:rFonts w:ascii="Helvetica" w:eastAsia="Times New Roman" w:hAnsi="Helvetica" w:cs="Helvetica"/>
          <w:b/>
          <w:bCs/>
          <w:color w:val="333333"/>
          <w:sz w:val="21"/>
          <w:szCs w:val="21"/>
        </w:rPr>
        <w:t>Network</w:t>
      </w:r>
      <w:r w:rsidRPr="002441B2">
        <w:rPr>
          <w:rFonts w:ascii="Helvetica" w:eastAsia="Times New Roman" w:hAnsi="Helvetica" w:cs="Helvetica"/>
          <w:color w:val="333333"/>
          <w:sz w:val="21"/>
          <w:szCs w:val="21"/>
        </w:rPr>
        <w:t> is a group of hospitals, physicians, other providers, insurers and/or community agencies that work together to coordinate and deliver a broad spectrum of services to their community.</w:t>
      </w:r>
    </w:p>
    <w:p w:rsidR="002441B2" w:rsidRPr="002441B2" w:rsidRDefault="002441B2" w:rsidP="002441B2">
      <w:pPr>
        <w:shd w:val="clear" w:color="auto" w:fill="FFFFFF"/>
        <w:spacing w:after="150" w:line="240" w:lineRule="auto"/>
        <w:rPr>
          <w:rFonts w:ascii="Helvetica" w:eastAsia="Times New Roman" w:hAnsi="Helvetica" w:cs="Helvetica"/>
          <w:color w:val="333333"/>
          <w:sz w:val="21"/>
          <w:szCs w:val="21"/>
        </w:rPr>
      </w:pPr>
      <w:r w:rsidRPr="002441B2">
        <w:rPr>
          <w:rFonts w:ascii="Helvetica" w:eastAsia="Times New Roman" w:hAnsi="Helvetica" w:cs="Helvetica"/>
          <w:color w:val="333333"/>
          <w:sz w:val="21"/>
          <w:szCs w:val="21"/>
        </w:rPr>
        <w:t>© 2019 by Health Forum LLC, an affiliate of the American Hospital Association</w:t>
      </w:r>
    </w:p>
    <w:p w:rsidR="002441B2" w:rsidRPr="002441B2" w:rsidRDefault="002441B2" w:rsidP="002441B2">
      <w:pPr>
        <w:shd w:val="clear" w:color="auto" w:fill="FFFFFF"/>
        <w:spacing w:after="150" w:line="240" w:lineRule="auto"/>
        <w:rPr>
          <w:rFonts w:ascii="Helvetica" w:eastAsia="Times New Roman" w:hAnsi="Helvetica" w:cs="Helvetica"/>
          <w:color w:val="333333"/>
          <w:sz w:val="21"/>
          <w:szCs w:val="21"/>
        </w:rPr>
      </w:pPr>
      <w:r w:rsidRPr="002441B2">
        <w:rPr>
          <w:rFonts w:ascii="Helvetica" w:eastAsia="Times New Roman" w:hAnsi="Helvetica" w:cs="Helvetica"/>
          <w:i/>
          <w:iCs/>
          <w:color w:val="333333"/>
          <w:sz w:val="21"/>
          <w:szCs w:val="21"/>
        </w:rPr>
        <w:t>Updated January 2019</w:t>
      </w:r>
    </w:p>
    <w:p w:rsidR="00FF0BAB" w:rsidRPr="00E14D0A" w:rsidRDefault="00FF0BAB" w:rsidP="002441B2">
      <w:pPr>
        <w:spacing w:after="0" w:line="240" w:lineRule="auto"/>
        <w:rPr>
          <w:rFonts w:ascii="Calibri" w:eastAsia="Times New Roman" w:hAnsi="Calibri" w:cs="Arial"/>
          <w:color w:val="000000"/>
          <w:sz w:val="19"/>
          <w:szCs w:val="19"/>
        </w:rPr>
      </w:pPr>
    </w:p>
    <w:sectPr w:rsidR="00FF0BAB" w:rsidRPr="00E1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AB"/>
    <w:rsid w:val="00147061"/>
    <w:rsid w:val="002441B2"/>
    <w:rsid w:val="002B4121"/>
    <w:rsid w:val="003A1DF5"/>
    <w:rsid w:val="00833D07"/>
    <w:rsid w:val="008E4713"/>
    <w:rsid w:val="00940509"/>
    <w:rsid w:val="0094190D"/>
    <w:rsid w:val="009F26BF"/>
    <w:rsid w:val="00A607C4"/>
    <w:rsid w:val="00AE662C"/>
    <w:rsid w:val="00C710AF"/>
    <w:rsid w:val="00E14D0A"/>
    <w:rsid w:val="00E910D0"/>
    <w:rsid w:val="00F770A3"/>
    <w:rsid w:val="00FF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A9172-201E-4127-A8DF-7B2FFED9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0B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0B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0B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0BAB"/>
    <w:rPr>
      <w:b/>
      <w:bCs/>
    </w:rPr>
  </w:style>
  <w:style w:type="character" w:styleId="Emphasis">
    <w:name w:val="Emphasis"/>
    <w:basedOn w:val="DefaultParagraphFont"/>
    <w:uiPriority w:val="20"/>
    <w:qFormat/>
    <w:rsid w:val="00FF0BAB"/>
    <w:rPr>
      <w:i/>
      <w:iCs/>
    </w:rPr>
  </w:style>
  <w:style w:type="character" w:styleId="Hyperlink">
    <w:name w:val="Hyperlink"/>
    <w:basedOn w:val="DefaultParagraphFont"/>
    <w:uiPriority w:val="99"/>
    <w:unhideWhenUsed/>
    <w:rsid w:val="00FF0BAB"/>
    <w:rPr>
      <w:color w:val="0000FF"/>
      <w:u w:val="single"/>
    </w:rPr>
  </w:style>
  <w:style w:type="paragraph" w:customStyle="1" w:styleId="table">
    <w:name w:val="table"/>
    <w:basedOn w:val="Normal"/>
    <w:rsid w:val="00F770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1505">
      <w:bodyDiv w:val="1"/>
      <w:marLeft w:val="0"/>
      <w:marRight w:val="0"/>
      <w:marTop w:val="0"/>
      <w:marBottom w:val="0"/>
      <w:divBdr>
        <w:top w:val="none" w:sz="0" w:space="0" w:color="auto"/>
        <w:left w:val="none" w:sz="0" w:space="0" w:color="auto"/>
        <w:bottom w:val="none" w:sz="0" w:space="0" w:color="auto"/>
        <w:right w:val="none" w:sz="0" w:space="0" w:color="auto"/>
      </w:divBdr>
    </w:div>
    <w:div w:id="313998522">
      <w:bodyDiv w:val="1"/>
      <w:marLeft w:val="0"/>
      <w:marRight w:val="0"/>
      <w:marTop w:val="0"/>
      <w:marBottom w:val="0"/>
      <w:divBdr>
        <w:top w:val="none" w:sz="0" w:space="0" w:color="auto"/>
        <w:left w:val="none" w:sz="0" w:space="0" w:color="auto"/>
        <w:bottom w:val="none" w:sz="0" w:space="0" w:color="auto"/>
        <w:right w:val="none" w:sz="0" w:space="0" w:color="auto"/>
      </w:divBdr>
    </w:div>
    <w:div w:id="616332664">
      <w:bodyDiv w:val="1"/>
      <w:marLeft w:val="0"/>
      <w:marRight w:val="0"/>
      <w:marTop w:val="0"/>
      <w:marBottom w:val="0"/>
      <w:divBdr>
        <w:top w:val="none" w:sz="0" w:space="0" w:color="auto"/>
        <w:left w:val="none" w:sz="0" w:space="0" w:color="auto"/>
        <w:bottom w:val="none" w:sz="0" w:space="0" w:color="auto"/>
        <w:right w:val="none" w:sz="0" w:space="0" w:color="auto"/>
      </w:divBdr>
    </w:div>
    <w:div w:id="1002468386">
      <w:bodyDiv w:val="1"/>
      <w:marLeft w:val="0"/>
      <w:marRight w:val="0"/>
      <w:marTop w:val="0"/>
      <w:marBottom w:val="0"/>
      <w:divBdr>
        <w:top w:val="none" w:sz="0" w:space="0" w:color="auto"/>
        <w:left w:val="none" w:sz="0" w:space="0" w:color="auto"/>
        <w:bottom w:val="none" w:sz="0" w:space="0" w:color="auto"/>
        <w:right w:val="none" w:sz="0" w:space="0" w:color="auto"/>
      </w:divBdr>
    </w:div>
    <w:div w:id="12772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ah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ha.org/statistics/fast-facts-us-hospitals" TargetMode="External"/><Relationship Id="rId12" Type="http://schemas.openxmlformats.org/officeDocument/2006/relationships/hyperlink" Target="https://www.aha.org/statistics/fast-facts-us-hospit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aha.org/statistics/fast-facts-us-hospitals" TargetMode="External"/><Relationship Id="rId5" Type="http://schemas.openxmlformats.org/officeDocument/2006/relationships/image" Target="media/image2.png"/><Relationship Id="rId10" Type="http://schemas.openxmlformats.org/officeDocument/2006/relationships/hyperlink" Target="https://www.aha.org/statistics/fast-facts-us-hospitals" TargetMode="External"/><Relationship Id="rId4" Type="http://schemas.openxmlformats.org/officeDocument/2006/relationships/image" Target="media/image1.png"/><Relationship Id="rId9" Type="http://schemas.openxmlformats.org/officeDocument/2006/relationships/hyperlink" Target="https://www.aha.org/statistics/fast-facts-us-hospit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AHA</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Dean</dc:creator>
  <cp:keywords/>
  <dc:description/>
  <cp:lastModifiedBy>Samuels, Debra</cp:lastModifiedBy>
  <cp:revision>2</cp:revision>
  <dcterms:created xsi:type="dcterms:W3CDTF">2019-01-16T19:45:00Z</dcterms:created>
  <dcterms:modified xsi:type="dcterms:W3CDTF">2019-01-16T19:45:00Z</dcterms:modified>
</cp:coreProperties>
</file>