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C7" w:rsidRPr="00CF2FC7" w:rsidRDefault="00CF2FC7" w:rsidP="00CF2FC7">
      <w:pPr>
        <w:ind w:left="-12"/>
        <w:rPr>
          <w:rFonts w:ascii="Arial" w:eastAsia="Times New Roman" w:hAnsi="Arial" w:cs="Arial"/>
          <w:lang w:bidi="ar-SA"/>
        </w:rPr>
      </w:pPr>
      <w:r w:rsidRPr="00CF2FC7">
        <w:rPr>
          <w:rFonts w:ascii="Arial" w:eastAsia="Times New Roman" w:hAnsi="Arial" w:cs="Arial"/>
          <w:lang w:bidi="ar-SA"/>
        </w:rPr>
        <w:t xml:space="preserve">January </w:t>
      </w:r>
      <w:r w:rsidRPr="00CF2FC7">
        <w:rPr>
          <w:rFonts w:ascii="Arial" w:eastAsia="Times New Roman" w:hAnsi="Arial" w:cs="Arial"/>
          <w:highlight w:val="yellow"/>
          <w:lang w:bidi="ar-SA"/>
        </w:rPr>
        <w:t>xx</w:t>
      </w:r>
      <w:r w:rsidRPr="00CF2FC7">
        <w:rPr>
          <w:rFonts w:ascii="Arial" w:eastAsia="Times New Roman" w:hAnsi="Arial" w:cs="Arial"/>
          <w:lang w:bidi="ar-SA"/>
        </w:rPr>
        <w:t>, 2020</w:t>
      </w:r>
    </w:p>
    <w:p w:rsidR="00CF2FC7" w:rsidRPr="00CF2FC7" w:rsidRDefault="00CF2FC7" w:rsidP="00CF2FC7">
      <w:pPr>
        <w:spacing w:line="259" w:lineRule="auto"/>
        <w:rPr>
          <w:rFonts w:ascii="Arial" w:eastAsia="Times New Roman" w:hAnsi="Arial" w:cs="Arial"/>
          <w:lang w:bidi="ar-SA"/>
        </w:rPr>
      </w:pPr>
    </w:p>
    <w:p w:rsidR="00CF2FC7" w:rsidRPr="00CF2FC7" w:rsidRDefault="00CF2FC7" w:rsidP="00CF2FC7">
      <w:pPr>
        <w:rPr>
          <w:rFonts w:ascii="Arial" w:eastAsia="Times New Roman" w:hAnsi="Arial" w:cs="Arial"/>
          <w:lang w:bidi="ar-SA"/>
        </w:rPr>
      </w:pPr>
      <w:r w:rsidRPr="00CF2FC7">
        <w:rPr>
          <w:rFonts w:ascii="Arial" w:eastAsia="Times New Roman" w:hAnsi="Arial" w:cs="Arial"/>
          <w:lang w:bidi="ar-SA"/>
        </w:rPr>
        <w:t>Seema Verma</w:t>
      </w:r>
    </w:p>
    <w:p w:rsidR="00CF2FC7" w:rsidRPr="00CF2FC7" w:rsidRDefault="00CF2FC7" w:rsidP="00CF2FC7">
      <w:pPr>
        <w:rPr>
          <w:rFonts w:ascii="Arial" w:eastAsia="Times New Roman" w:hAnsi="Arial" w:cs="Arial"/>
          <w:lang w:bidi="ar-SA"/>
        </w:rPr>
      </w:pPr>
      <w:r w:rsidRPr="00CF2FC7">
        <w:rPr>
          <w:rFonts w:ascii="Arial" w:eastAsia="Times New Roman" w:hAnsi="Arial" w:cs="Arial"/>
          <w:lang w:bidi="ar-SA"/>
        </w:rPr>
        <w:t xml:space="preserve">Administrator </w:t>
      </w:r>
    </w:p>
    <w:p w:rsidR="00CF2FC7" w:rsidRPr="00CF2FC7" w:rsidRDefault="00CF2FC7" w:rsidP="00CF2FC7">
      <w:pPr>
        <w:rPr>
          <w:rFonts w:ascii="Arial" w:eastAsia="Times New Roman" w:hAnsi="Arial" w:cs="Arial"/>
          <w:lang w:bidi="ar-SA"/>
        </w:rPr>
      </w:pPr>
      <w:r w:rsidRPr="00CF2FC7">
        <w:rPr>
          <w:rFonts w:ascii="Arial" w:eastAsia="Times New Roman" w:hAnsi="Arial" w:cs="Arial"/>
          <w:lang w:bidi="ar-SA"/>
        </w:rPr>
        <w:t xml:space="preserve">Centers for Medicare &amp; Medicaid Services </w:t>
      </w:r>
    </w:p>
    <w:p w:rsidR="00CF2FC7" w:rsidRPr="00CF2FC7" w:rsidRDefault="00CF2FC7" w:rsidP="00CF2FC7">
      <w:pPr>
        <w:rPr>
          <w:rFonts w:ascii="Arial" w:eastAsia="Times New Roman" w:hAnsi="Arial" w:cs="Arial"/>
          <w:lang w:bidi="ar-SA"/>
        </w:rPr>
      </w:pPr>
      <w:r w:rsidRPr="00CF2FC7">
        <w:rPr>
          <w:rFonts w:ascii="Arial" w:eastAsia="Times New Roman" w:hAnsi="Arial" w:cs="Arial"/>
          <w:lang w:bidi="ar-SA"/>
        </w:rPr>
        <w:t xml:space="preserve">Hubert H. Humphrey Building </w:t>
      </w:r>
    </w:p>
    <w:p w:rsidR="00CF2FC7" w:rsidRPr="00CF2FC7" w:rsidRDefault="00CF2FC7" w:rsidP="00CF2FC7">
      <w:pPr>
        <w:rPr>
          <w:rFonts w:ascii="Arial" w:eastAsia="Times New Roman" w:hAnsi="Arial" w:cs="Arial"/>
          <w:lang w:bidi="ar-SA"/>
        </w:rPr>
      </w:pPr>
      <w:r w:rsidRPr="00CF2FC7">
        <w:rPr>
          <w:rFonts w:ascii="Arial" w:eastAsia="Times New Roman" w:hAnsi="Arial" w:cs="Arial"/>
          <w:lang w:bidi="ar-SA"/>
        </w:rPr>
        <w:t xml:space="preserve">200 Independence Avenue, S.W., Room 445-G </w:t>
      </w:r>
    </w:p>
    <w:p w:rsidR="00CF2FC7" w:rsidRPr="00CF2FC7" w:rsidRDefault="00CF2FC7" w:rsidP="00CF2FC7">
      <w:pPr>
        <w:rPr>
          <w:rFonts w:ascii="Arial" w:eastAsia="Times New Roman" w:hAnsi="Arial" w:cs="Arial"/>
          <w:lang w:bidi="ar-SA"/>
        </w:rPr>
      </w:pPr>
      <w:r w:rsidRPr="00CF2FC7">
        <w:rPr>
          <w:rFonts w:ascii="Arial" w:eastAsia="Times New Roman" w:hAnsi="Arial" w:cs="Arial"/>
          <w:lang w:bidi="ar-SA"/>
        </w:rPr>
        <w:t xml:space="preserve">Washington, DC 20201 </w:t>
      </w:r>
    </w:p>
    <w:p w:rsidR="00CF2FC7" w:rsidRPr="00CF2FC7" w:rsidRDefault="00CF2FC7" w:rsidP="00CF2FC7">
      <w:pPr>
        <w:spacing w:line="259" w:lineRule="auto"/>
        <w:rPr>
          <w:rFonts w:ascii="Arial" w:eastAsia="Times New Roman" w:hAnsi="Arial" w:cs="Arial"/>
          <w:lang w:bidi="ar-SA"/>
        </w:rPr>
      </w:pPr>
      <w:r w:rsidRPr="00CF2FC7">
        <w:rPr>
          <w:rFonts w:ascii="Arial" w:eastAsia="Times New Roman" w:hAnsi="Arial" w:cs="Arial"/>
          <w:b/>
          <w:i/>
          <w:lang w:bidi="ar-SA"/>
        </w:rPr>
        <w:t xml:space="preserve"> </w:t>
      </w:r>
    </w:p>
    <w:p w:rsidR="00CF2FC7" w:rsidRPr="00CF2FC7" w:rsidRDefault="00CF2FC7" w:rsidP="00CF2FC7">
      <w:pPr>
        <w:spacing w:line="238" w:lineRule="auto"/>
        <w:rPr>
          <w:rFonts w:ascii="Arial" w:eastAsia="Times New Roman" w:hAnsi="Arial" w:cs="Arial"/>
          <w:lang w:bidi="ar-SA"/>
        </w:rPr>
      </w:pPr>
      <w:r w:rsidRPr="00CF2FC7">
        <w:rPr>
          <w:rFonts w:ascii="Arial" w:eastAsia="Times New Roman" w:hAnsi="Arial" w:cs="Arial"/>
          <w:b/>
          <w:i/>
          <w:lang w:bidi="ar-SA"/>
        </w:rPr>
        <w:t>RE: Transparency in Coverage (CMS-9915-P)</w:t>
      </w:r>
    </w:p>
    <w:p w:rsidR="00CF2FC7" w:rsidRPr="00CF2FC7" w:rsidRDefault="00CF2FC7" w:rsidP="00CF2FC7">
      <w:pPr>
        <w:spacing w:line="259" w:lineRule="auto"/>
        <w:rPr>
          <w:rFonts w:ascii="Arial" w:eastAsia="Times New Roman" w:hAnsi="Arial" w:cs="Arial"/>
          <w:lang w:bidi="ar-SA"/>
        </w:rPr>
      </w:pPr>
      <w:r w:rsidRPr="00CF2FC7">
        <w:rPr>
          <w:rFonts w:ascii="Arial" w:eastAsia="Times New Roman" w:hAnsi="Arial" w:cs="Arial"/>
          <w:i/>
          <w:lang w:bidi="ar-SA"/>
        </w:rPr>
        <w:t xml:space="preserve"> </w:t>
      </w:r>
    </w:p>
    <w:p w:rsidR="00CF2FC7" w:rsidRDefault="00CF2FC7" w:rsidP="00CF2FC7">
      <w:pPr>
        <w:rPr>
          <w:rFonts w:ascii="Arial" w:eastAsia="Times New Roman" w:hAnsi="Arial" w:cs="Arial"/>
          <w:lang w:bidi="ar-SA"/>
        </w:rPr>
      </w:pPr>
      <w:r w:rsidRPr="00CF2FC7">
        <w:rPr>
          <w:rFonts w:ascii="Arial" w:eastAsia="Times New Roman" w:hAnsi="Arial" w:cs="Arial"/>
          <w:lang w:bidi="ar-SA"/>
        </w:rPr>
        <w:t xml:space="preserve">Dear Ms. Verma: </w:t>
      </w:r>
    </w:p>
    <w:p w:rsidR="00CF2FC7" w:rsidRPr="00CF2FC7" w:rsidRDefault="00CF2FC7" w:rsidP="00CF2FC7">
      <w:pPr>
        <w:rPr>
          <w:rFonts w:ascii="Arial" w:eastAsia="Times New Roman" w:hAnsi="Arial" w:cs="Arial"/>
          <w:lang w:bidi="ar-SA"/>
        </w:rPr>
      </w:pPr>
    </w:p>
    <w:p w:rsidR="00E63038" w:rsidRPr="003C2397" w:rsidRDefault="00E63038" w:rsidP="00E63038">
      <w:pPr>
        <w:rPr>
          <w:rFonts w:ascii="Arial" w:hAnsi="Arial"/>
          <w:bCs/>
          <w:szCs w:val="44"/>
        </w:rPr>
      </w:pPr>
      <w:r w:rsidRPr="003838C0">
        <w:rPr>
          <w:rFonts w:ascii="Arial" w:hAnsi="Arial" w:cs="Arial"/>
          <w:b/>
          <w:smallCaps/>
        </w:rPr>
        <w:t xml:space="preserve">Comments on </w:t>
      </w:r>
      <w:r w:rsidR="00C57C35" w:rsidRPr="00C57C35">
        <w:rPr>
          <w:rFonts w:ascii="Arial" w:hAnsi="Arial" w:cs="Arial"/>
          <w:b/>
          <w:smallCaps/>
        </w:rPr>
        <w:t>Transparency in Coverage</w:t>
      </w:r>
      <w:r w:rsidRPr="003838C0">
        <w:rPr>
          <w:rFonts w:ascii="Arial" w:hAnsi="Arial" w:cs="Arial"/>
          <w:b/>
          <w:smallCaps/>
        </w:rPr>
        <w:t xml:space="preserve"> Proposed Rule</w:t>
      </w:r>
    </w:p>
    <w:p w:rsidR="00E63038" w:rsidRPr="006E214F" w:rsidRDefault="00E63038" w:rsidP="00E63038">
      <w:pPr>
        <w:rPr>
          <w:rFonts w:ascii="Arial" w:hAnsi="Arial" w:cs="Arial"/>
          <w:smallCaps/>
        </w:rPr>
      </w:pPr>
    </w:p>
    <w:p w:rsidR="00E63038" w:rsidRDefault="00DB2846" w:rsidP="00E63038">
      <w:pPr>
        <w:rPr>
          <w:rFonts w:ascii="Arial" w:hAnsi="Arial" w:cs="Arial"/>
        </w:rPr>
      </w:pPr>
      <w:r>
        <w:rPr>
          <w:rFonts w:ascii="Arial" w:hAnsi="Arial" w:cs="Arial"/>
        </w:rPr>
        <w:t>T</w:t>
      </w:r>
      <w:r w:rsidR="006E214F" w:rsidRPr="006E214F">
        <w:rPr>
          <w:rFonts w:ascii="Arial" w:hAnsi="Arial" w:cs="Arial"/>
        </w:rPr>
        <w:t xml:space="preserve">he Departments of </w:t>
      </w:r>
      <w:r w:rsidR="000501F5">
        <w:rPr>
          <w:rFonts w:ascii="Arial" w:hAnsi="Arial" w:cs="Arial"/>
        </w:rPr>
        <w:t xml:space="preserve">the </w:t>
      </w:r>
      <w:r w:rsidR="006E214F" w:rsidRPr="006E214F">
        <w:rPr>
          <w:rFonts w:ascii="Arial" w:hAnsi="Arial" w:cs="Arial"/>
        </w:rPr>
        <w:t xml:space="preserve">Treasury, Labor, and Health and Human Services (collectively, the departments) </w:t>
      </w:r>
      <w:r w:rsidR="006E214F">
        <w:rPr>
          <w:rFonts w:ascii="Arial" w:hAnsi="Arial" w:cs="Arial"/>
        </w:rPr>
        <w:t>propose</w:t>
      </w:r>
      <w:r w:rsidR="00E63038">
        <w:rPr>
          <w:rFonts w:ascii="Arial" w:hAnsi="Arial" w:cs="Arial"/>
        </w:rPr>
        <w:t xml:space="preserve"> to require </w:t>
      </w:r>
      <w:r w:rsidR="006E214F">
        <w:rPr>
          <w:rFonts w:ascii="Arial" w:hAnsi="Arial" w:cs="Arial"/>
        </w:rPr>
        <w:t>health plans to provide their enrollees individualized information on their expected cost-sharing liability for a health care event, as well as other important information about their coverage. In addition, health plans would be required to pub</w:t>
      </w:r>
      <w:r w:rsidR="00E22199">
        <w:rPr>
          <w:rFonts w:ascii="Arial" w:hAnsi="Arial" w:cs="Arial"/>
        </w:rPr>
        <w:t>lic</w:t>
      </w:r>
      <w:r w:rsidR="006E214F">
        <w:rPr>
          <w:rFonts w:ascii="Arial" w:hAnsi="Arial" w:cs="Arial"/>
        </w:rPr>
        <w:t xml:space="preserve">ly disclose their negotiated rates and allowed amounts for all in-network and out-of-network providers. </w:t>
      </w:r>
    </w:p>
    <w:p w:rsidR="00E63038" w:rsidRDefault="00E63038" w:rsidP="00E63038"/>
    <w:p w:rsidR="00E63038" w:rsidRPr="002F0A4D" w:rsidRDefault="00E63038" w:rsidP="00E63038">
      <w:pPr>
        <w:rPr>
          <w:rFonts w:ascii="Arial" w:hAnsi="Arial" w:cs="Arial"/>
          <w:b/>
        </w:rPr>
      </w:pPr>
      <w:r>
        <w:rPr>
          <w:rFonts w:ascii="Arial" w:hAnsi="Arial" w:cs="Arial"/>
        </w:rPr>
        <w:t xml:space="preserve">We are deeply committed to </w:t>
      </w:r>
      <w:r w:rsidRPr="008D14C1">
        <w:rPr>
          <w:rFonts w:ascii="Arial" w:hAnsi="Arial" w:cs="Arial"/>
        </w:rPr>
        <w:t xml:space="preserve">ensuring patients have the information they need to make informed health care decisions, </w:t>
      </w:r>
      <w:r w:rsidR="00694133">
        <w:rPr>
          <w:rFonts w:ascii="Arial" w:hAnsi="Arial" w:cs="Arial"/>
        </w:rPr>
        <w:t>especially</w:t>
      </w:r>
      <w:r w:rsidRPr="008D14C1">
        <w:rPr>
          <w:rFonts w:ascii="Arial" w:hAnsi="Arial" w:cs="Arial"/>
        </w:rPr>
        <w:t xml:space="preserve"> timely, accurate estimat</w:t>
      </w:r>
      <w:r>
        <w:rPr>
          <w:rFonts w:ascii="Arial" w:hAnsi="Arial" w:cs="Arial"/>
        </w:rPr>
        <w:t xml:space="preserve">es of their </w:t>
      </w:r>
      <w:r w:rsidR="006E214F">
        <w:rPr>
          <w:rFonts w:ascii="Arial" w:hAnsi="Arial" w:cs="Arial"/>
        </w:rPr>
        <w:t>cost</w:t>
      </w:r>
      <w:r w:rsidR="005B40B1">
        <w:rPr>
          <w:rFonts w:ascii="Arial" w:hAnsi="Arial" w:cs="Arial"/>
        </w:rPr>
        <w:t>-</w:t>
      </w:r>
      <w:r w:rsidR="006E214F">
        <w:rPr>
          <w:rFonts w:ascii="Arial" w:hAnsi="Arial" w:cs="Arial"/>
        </w:rPr>
        <w:t xml:space="preserve">sharing liability. </w:t>
      </w:r>
      <w:r w:rsidR="006E214F" w:rsidRPr="002F0A4D">
        <w:rPr>
          <w:rFonts w:ascii="Arial" w:hAnsi="Arial" w:cs="Arial"/>
          <w:b/>
        </w:rPr>
        <w:t xml:space="preserve">We appreciate </w:t>
      </w:r>
      <w:r w:rsidR="00F5589A" w:rsidRPr="002F0A4D">
        <w:rPr>
          <w:rFonts w:ascii="Arial" w:hAnsi="Arial" w:cs="Arial"/>
          <w:b/>
        </w:rPr>
        <w:t>that the first policy proposed would help further this objective and look forward to working with the departments on this shared goal.</w:t>
      </w:r>
      <w:r w:rsidR="00102554" w:rsidRPr="002F0A4D">
        <w:rPr>
          <w:rFonts w:ascii="Arial" w:hAnsi="Arial" w:cs="Arial"/>
          <w:b/>
        </w:rPr>
        <w:t xml:space="preserve"> </w:t>
      </w:r>
      <w:r w:rsidR="00F5589A" w:rsidRPr="002F0A4D">
        <w:rPr>
          <w:rFonts w:ascii="Arial" w:hAnsi="Arial" w:cs="Arial"/>
          <w:b/>
        </w:rPr>
        <w:t xml:space="preserve">However, we strongly disagree with the </w:t>
      </w:r>
      <w:r w:rsidR="00694133">
        <w:rPr>
          <w:rFonts w:ascii="Arial" w:hAnsi="Arial" w:cs="Arial"/>
          <w:b/>
        </w:rPr>
        <w:t xml:space="preserve">additional </w:t>
      </w:r>
      <w:r w:rsidR="00F5589A" w:rsidRPr="002F0A4D">
        <w:rPr>
          <w:rFonts w:ascii="Arial" w:hAnsi="Arial" w:cs="Arial"/>
          <w:b/>
        </w:rPr>
        <w:t>proposal requir</w:t>
      </w:r>
      <w:r w:rsidR="00E22199">
        <w:rPr>
          <w:rFonts w:ascii="Arial" w:hAnsi="Arial" w:cs="Arial"/>
          <w:b/>
        </w:rPr>
        <w:t>ing health plans to public</w:t>
      </w:r>
      <w:r w:rsidR="00F5589A" w:rsidRPr="002F0A4D">
        <w:rPr>
          <w:rFonts w:ascii="Arial" w:hAnsi="Arial" w:cs="Arial"/>
          <w:b/>
        </w:rPr>
        <w:t>ly relea</w:t>
      </w:r>
      <w:r w:rsidR="005B40B1">
        <w:rPr>
          <w:rFonts w:ascii="Arial" w:hAnsi="Arial" w:cs="Arial"/>
          <w:b/>
        </w:rPr>
        <w:t xml:space="preserve">se </w:t>
      </w:r>
      <w:r w:rsidR="00755F48">
        <w:rPr>
          <w:rFonts w:ascii="Arial" w:hAnsi="Arial" w:cs="Arial"/>
          <w:b/>
        </w:rPr>
        <w:t>their negotiated rates</w:t>
      </w:r>
      <w:r w:rsidR="00F5589A" w:rsidRPr="002F0A4D">
        <w:rPr>
          <w:rFonts w:ascii="Arial" w:hAnsi="Arial" w:cs="Arial"/>
          <w:b/>
        </w:rPr>
        <w:t xml:space="preserve">. Instead of helping patients, this policy </w:t>
      </w:r>
      <w:r w:rsidR="00DB2846">
        <w:rPr>
          <w:rFonts w:ascii="Arial" w:hAnsi="Arial" w:cs="Arial"/>
          <w:b/>
        </w:rPr>
        <w:t>c</w:t>
      </w:r>
      <w:r w:rsidR="00F5589A" w:rsidRPr="002F0A4D">
        <w:rPr>
          <w:rFonts w:ascii="Arial" w:hAnsi="Arial" w:cs="Arial"/>
          <w:b/>
        </w:rPr>
        <w:t xml:space="preserve">ould lead to widespread confusion and even more consolidation in the commercial health insurance industry and should be abandoned. </w:t>
      </w:r>
    </w:p>
    <w:p w:rsidR="00E63038" w:rsidRDefault="00E63038" w:rsidP="00E63038">
      <w:pPr>
        <w:rPr>
          <w:rFonts w:ascii="Arial" w:eastAsia="MS Mincho" w:hAnsi="Arial" w:cs="Times New Roman"/>
          <w:b/>
          <w:szCs w:val="20"/>
          <w:u w:val="single"/>
          <w:lang w:eastAsia="ja-JP"/>
        </w:rPr>
      </w:pPr>
    </w:p>
    <w:p w:rsidR="00C56871" w:rsidRPr="00C56871" w:rsidRDefault="00C56871" w:rsidP="00DB2846">
      <w:pPr>
        <w:spacing w:after="160" w:line="259" w:lineRule="auto"/>
        <w:rPr>
          <w:rFonts w:ascii="Arial" w:eastAsia="MS Mincho" w:hAnsi="Arial" w:cs="Times New Roman"/>
          <w:b/>
          <w:szCs w:val="20"/>
          <w:u w:val="single"/>
          <w:lang w:eastAsia="ja-JP"/>
        </w:rPr>
      </w:pPr>
      <w:r w:rsidRPr="00C56871">
        <w:rPr>
          <w:rFonts w:ascii="Arial" w:eastAsia="MS Mincho" w:hAnsi="Arial" w:cs="Times New Roman"/>
          <w:b/>
          <w:szCs w:val="20"/>
          <w:u w:val="single"/>
          <w:lang w:eastAsia="ja-JP"/>
        </w:rPr>
        <w:t>Disclosure of Personalized Cost-</w:t>
      </w:r>
      <w:r w:rsidR="003E59E9">
        <w:rPr>
          <w:rFonts w:ascii="Arial" w:eastAsia="MS Mincho" w:hAnsi="Arial" w:cs="Times New Roman"/>
          <w:b/>
          <w:szCs w:val="20"/>
          <w:u w:val="single"/>
          <w:lang w:eastAsia="ja-JP"/>
        </w:rPr>
        <w:t>s</w:t>
      </w:r>
      <w:r w:rsidRPr="00C56871">
        <w:rPr>
          <w:rFonts w:ascii="Arial" w:eastAsia="MS Mincho" w:hAnsi="Arial" w:cs="Times New Roman"/>
          <w:b/>
          <w:szCs w:val="20"/>
          <w:u w:val="single"/>
          <w:lang w:eastAsia="ja-JP"/>
        </w:rPr>
        <w:t>haring Information</w:t>
      </w:r>
    </w:p>
    <w:p w:rsidR="00C56871" w:rsidRDefault="00794FCF" w:rsidP="00C56871">
      <w:pPr>
        <w:spacing w:after="160" w:line="259" w:lineRule="auto"/>
        <w:rPr>
          <w:rFonts w:ascii="Arial" w:eastAsia="MS Mincho" w:hAnsi="Arial" w:cs="Times New Roman"/>
          <w:szCs w:val="20"/>
          <w:lang w:eastAsia="ja-JP"/>
        </w:rPr>
      </w:pPr>
      <w:r>
        <w:rPr>
          <w:rFonts w:ascii="Arial" w:hAnsi="Arial" w:cs="Arial"/>
        </w:rPr>
        <w:t xml:space="preserve">The departments seek comment on their proposal </w:t>
      </w:r>
      <w:r w:rsidR="00755F48">
        <w:rPr>
          <w:rFonts w:ascii="Arial" w:hAnsi="Arial" w:cs="Arial"/>
        </w:rPr>
        <w:t>requiring</w:t>
      </w:r>
      <w:r>
        <w:rPr>
          <w:rFonts w:ascii="Arial" w:hAnsi="Arial" w:cs="Arial"/>
        </w:rPr>
        <w:t xml:space="preserve"> health plans to provide enrollees individualized information on their expected cost-sharing </w:t>
      </w:r>
      <w:r w:rsidRPr="002F0A4D">
        <w:rPr>
          <w:rFonts w:ascii="Arial" w:hAnsi="Arial" w:cs="Arial"/>
        </w:rPr>
        <w:t xml:space="preserve">liability for a health care event, as well as other important information about their coverage. </w:t>
      </w:r>
      <w:r w:rsidR="00102554" w:rsidRPr="002F0A4D">
        <w:rPr>
          <w:rFonts w:ascii="Arial" w:eastAsia="MS Mincho" w:hAnsi="Arial" w:cs="Times New Roman"/>
          <w:szCs w:val="20"/>
          <w:lang w:eastAsia="ja-JP"/>
        </w:rPr>
        <w:t>We commend the departments for putting forth a policy that would help patients gain better access to timely, accurate and personalized information on their expected cost-sharing and other important coverage details. In particular, we support the departments’ attention to</w:t>
      </w:r>
      <w:r w:rsidR="00BB4AAD" w:rsidRPr="002F0A4D">
        <w:rPr>
          <w:rFonts w:ascii="Arial" w:eastAsia="MS Mincho" w:hAnsi="Arial" w:cs="Times New Roman"/>
          <w:szCs w:val="20"/>
          <w:lang w:eastAsia="ja-JP"/>
        </w:rPr>
        <w:t xml:space="preserve"> helping patients understand the full extent of their coverage, including where they are in their deductible and any coverage prerequisites</w:t>
      </w:r>
      <w:r w:rsidR="00BB4AAD" w:rsidRPr="00694133">
        <w:rPr>
          <w:rFonts w:ascii="Arial" w:eastAsia="MS Mincho" w:hAnsi="Arial" w:cs="Times New Roman"/>
          <w:b/>
          <w:szCs w:val="20"/>
          <w:lang w:eastAsia="ja-JP"/>
        </w:rPr>
        <w:t xml:space="preserve">. </w:t>
      </w:r>
      <w:r w:rsidR="00755F48" w:rsidRPr="00694133">
        <w:rPr>
          <w:rFonts w:ascii="Arial" w:eastAsia="MS Mincho" w:hAnsi="Arial" w:cs="Times New Roman"/>
          <w:b/>
          <w:szCs w:val="20"/>
          <w:lang w:eastAsia="ja-JP"/>
        </w:rPr>
        <w:t>We</w:t>
      </w:r>
      <w:r w:rsidR="00BB4AAD" w:rsidRPr="00694133">
        <w:rPr>
          <w:rFonts w:ascii="Arial" w:eastAsia="MS Mincho" w:hAnsi="Arial" w:cs="Times New Roman"/>
          <w:b/>
          <w:szCs w:val="20"/>
          <w:lang w:eastAsia="ja-JP"/>
        </w:rPr>
        <w:t xml:space="preserve"> encourage the departments </w:t>
      </w:r>
      <w:r w:rsidR="00DB2846" w:rsidRPr="00694133">
        <w:rPr>
          <w:rFonts w:ascii="Arial" w:eastAsia="MS Mincho" w:hAnsi="Arial" w:cs="Times New Roman"/>
          <w:b/>
          <w:szCs w:val="20"/>
          <w:lang w:eastAsia="ja-JP"/>
        </w:rPr>
        <w:t xml:space="preserve">also </w:t>
      </w:r>
      <w:r w:rsidR="00BB4AAD" w:rsidRPr="00694133">
        <w:rPr>
          <w:rFonts w:ascii="Arial" w:eastAsia="MS Mincho" w:hAnsi="Arial" w:cs="Times New Roman"/>
          <w:b/>
          <w:szCs w:val="20"/>
          <w:lang w:eastAsia="ja-JP"/>
        </w:rPr>
        <w:t>to require health plans to make this information</w:t>
      </w:r>
      <w:r w:rsidR="00A91289" w:rsidRPr="00694133">
        <w:rPr>
          <w:rFonts w:ascii="Arial" w:eastAsia="MS Mincho" w:hAnsi="Arial" w:cs="Times New Roman"/>
          <w:b/>
          <w:szCs w:val="20"/>
          <w:lang w:eastAsia="ja-JP"/>
        </w:rPr>
        <w:t xml:space="preserve"> available</w:t>
      </w:r>
      <w:r w:rsidR="00BB4AAD" w:rsidRPr="00694133">
        <w:rPr>
          <w:rFonts w:ascii="Arial" w:eastAsia="MS Mincho" w:hAnsi="Arial" w:cs="Times New Roman"/>
          <w:b/>
          <w:szCs w:val="20"/>
          <w:lang w:eastAsia="ja-JP"/>
        </w:rPr>
        <w:t xml:space="preserve"> to providers.</w:t>
      </w:r>
      <w:r w:rsidR="00BB4AAD" w:rsidRPr="002F0A4D">
        <w:rPr>
          <w:rFonts w:ascii="Arial" w:eastAsia="MS Mincho" w:hAnsi="Arial" w:cs="Times New Roman"/>
          <w:szCs w:val="20"/>
          <w:lang w:eastAsia="ja-JP"/>
        </w:rPr>
        <w:t xml:space="preserve"> Patients </w:t>
      </w:r>
      <w:r w:rsidR="00A91289" w:rsidRPr="002F0A4D">
        <w:rPr>
          <w:rFonts w:ascii="Arial" w:eastAsia="MS Mincho" w:hAnsi="Arial" w:cs="Times New Roman"/>
          <w:szCs w:val="20"/>
          <w:lang w:eastAsia="ja-JP"/>
        </w:rPr>
        <w:t>reasonably turn to providers for this information when contemplating or scheduling health care services</w:t>
      </w:r>
      <w:r w:rsidR="00A91289">
        <w:rPr>
          <w:rFonts w:ascii="Arial" w:eastAsia="MS Mincho" w:hAnsi="Arial" w:cs="Times New Roman"/>
          <w:szCs w:val="20"/>
          <w:lang w:eastAsia="ja-JP"/>
        </w:rPr>
        <w:t xml:space="preserve">, but providers often face barriers in accessing the necessary details from insurers to provide a timely, accurate estimate. </w:t>
      </w:r>
      <w:r w:rsidR="00DB2846">
        <w:rPr>
          <w:rFonts w:ascii="Arial" w:eastAsia="MS Mincho" w:hAnsi="Arial" w:cs="Times New Roman"/>
          <w:szCs w:val="20"/>
          <w:lang w:eastAsia="ja-JP"/>
        </w:rPr>
        <w:t xml:space="preserve">Specifically, </w:t>
      </w:r>
      <w:r w:rsidR="00DB2846">
        <w:rPr>
          <w:rFonts w:ascii="Arial" w:hAnsi="Arial" w:cs="Arial"/>
        </w:rPr>
        <w:t xml:space="preserve">we encourage </w:t>
      </w:r>
      <w:r w:rsidR="00DB2846">
        <w:rPr>
          <w:rFonts w:ascii="Arial" w:hAnsi="Arial" w:cs="Arial"/>
        </w:rPr>
        <w:lastRenderedPageBreak/>
        <w:t>the departments to require health plans to enable provider access to patients’ specific benefit information via a secure website</w:t>
      </w:r>
      <w:r w:rsidR="00A91289">
        <w:rPr>
          <w:rFonts w:ascii="Arial" w:eastAsia="MS Mincho" w:hAnsi="Arial" w:cs="Times New Roman"/>
          <w:szCs w:val="20"/>
          <w:lang w:eastAsia="ja-JP"/>
        </w:rPr>
        <w:t xml:space="preserve">. </w:t>
      </w:r>
      <w:r w:rsidR="00BB4AAD">
        <w:rPr>
          <w:rFonts w:ascii="Arial" w:eastAsia="MS Mincho" w:hAnsi="Arial" w:cs="Times New Roman"/>
          <w:szCs w:val="20"/>
          <w:lang w:eastAsia="ja-JP"/>
        </w:rPr>
        <w:t xml:space="preserve">    </w:t>
      </w:r>
    </w:p>
    <w:p w:rsidR="00794FCF" w:rsidRPr="00794FCF" w:rsidRDefault="00A91289" w:rsidP="00C56871">
      <w:pPr>
        <w:spacing w:after="160" w:line="259" w:lineRule="auto"/>
        <w:rPr>
          <w:rFonts w:ascii="Arial" w:hAnsi="Arial" w:cs="Arial"/>
        </w:rPr>
      </w:pPr>
      <w:r w:rsidRPr="00694133">
        <w:rPr>
          <w:rFonts w:ascii="Arial" w:eastAsia="MS Mincho" w:hAnsi="Arial" w:cs="Times New Roman"/>
          <w:b/>
          <w:szCs w:val="20"/>
          <w:lang w:eastAsia="ja-JP"/>
        </w:rPr>
        <w:t xml:space="preserve">We also appreciate the departments’ acknowledgement that the estimates may not reflect the </w:t>
      </w:r>
      <w:r w:rsidRPr="00694133">
        <w:rPr>
          <w:rFonts w:ascii="Arial" w:hAnsi="Arial" w:cs="Arial"/>
          <w:b/>
        </w:rPr>
        <w:t>amount ultimately charged to the patient and support the inclusion of this key point in the proposed model disclosure notice.</w:t>
      </w:r>
      <w:r w:rsidR="00794FCF">
        <w:rPr>
          <w:rFonts w:ascii="Arial" w:hAnsi="Arial" w:cs="Arial"/>
        </w:rPr>
        <w:t xml:space="preserve"> </w:t>
      </w:r>
      <w:r w:rsidR="00DB2846">
        <w:rPr>
          <w:rFonts w:ascii="Arial" w:hAnsi="Arial" w:cs="Arial"/>
        </w:rPr>
        <w:t>In some cases, the course of care can be unpredictable, and, therefore, patients should be aware of the limitations of estimates provided prior to care delivery</w:t>
      </w:r>
      <w:r w:rsidR="005B40B1">
        <w:rPr>
          <w:rFonts w:ascii="Arial" w:hAnsi="Arial" w:cs="Arial"/>
        </w:rPr>
        <w:t>.</w:t>
      </w:r>
      <w:r w:rsidR="00794FCF">
        <w:rPr>
          <w:rFonts w:ascii="Arial" w:hAnsi="Arial" w:cs="Arial"/>
        </w:rPr>
        <w:t xml:space="preserve"> </w:t>
      </w:r>
    </w:p>
    <w:p w:rsidR="00C56871" w:rsidRPr="00C56871" w:rsidRDefault="00C56871" w:rsidP="00C56871">
      <w:pPr>
        <w:spacing w:after="160" w:line="259" w:lineRule="auto"/>
        <w:rPr>
          <w:rFonts w:ascii="Arial" w:eastAsia="MS Mincho" w:hAnsi="Arial" w:cs="Times New Roman"/>
          <w:b/>
          <w:szCs w:val="20"/>
          <w:u w:val="single"/>
          <w:lang w:eastAsia="ja-JP"/>
        </w:rPr>
      </w:pPr>
      <w:r w:rsidRPr="00C56871">
        <w:rPr>
          <w:rFonts w:ascii="Arial" w:eastAsia="MS Mincho" w:hAnsi="Arial" w:cs="Times New Roman"/>
          <w:b/>
          <w:szCs w:val="20"/>
          <w:u w:val="single"/>
          <w:lang w:eastAsia="ja-JP"/>
        </w:rPr>
        <w:t>Public Disclosure of Negotiated Rates and Allowed Amounts</w:t>
      </w:r>
      <w:r w:rsidRPr="00C56871">
        <w:rPr>
          <w:rFonts w:ascii="Arial" w:eastAsia="MS Mincho" w:hAnsi="Arial" w:cs="Times New Roman"/>
          <w:szCs w:val="20"/>
          <w:u w:val="single"/>
          <w:lang w:eastAsia="ja-JP"/>
        </w:rPr>
        <w:t xml:space="preserve"> </w:t>
      </w:r>
    </w:p>
    <w:p w:rsidR="00794FCF" w:rsidRPr="00085290" w:rsidRDefault="00794FCF" w:rsidP="00794FCF">
      <w:pPr>
        <w:rPr>
          <w:rFonts w:ascii="Arial" w:hAnsi="Arial" w:cs="Arial"/>
        </w:rPr>
      </w:pPr>
      <w:r w:rsidRPr="00085290">
        <w:rPr>
          <w:rFonts w:ascii="Arial" w:hAnsi="Arial" w:cs="Arial"/>
        </w:rPr>
        <w:t xml:space="preserve">The </w:t>
      </w:r>
      <w:r>
        <w:rPr>
          <w:rFonts w:ascii="Arial" w:hAnsi="Arial" w:cs="Arial"/>
        </w:rPr>
        <w:t xml:space="preserve">departments also seek comment on their proposal to require health plans to make their negotiated rates and allowed amounts publically available. Public disclosure of such sensitive information </w:t>
      </w:r>
      <w:r w:rsidRPr="00497D35">
        <w:rPr>
          <w:rFonts w:ascii="Arial" w:hAnsi="Arial" w:cs="Arial"/>
        </w:rPr>
        <w:t>would confuse – not help – patients in understanding their potential</w:t>
      </w:r>
      <w:r>
        <w:rPr>
          <w:rFonts w:ascii="Arial" w:hAnsi="Arial" w:cs="Arial"/>
        </w:rPr>
        <w:t xml:space="preserve"> cost-sharing liability and</w:t>
      </w:r>
      <w:r w:rsidRPr="00497D35">
        <w:rPr>
          <w:rFonts w:ascii="Arial" w:hAnsi="Arial" w:cs="Arial"/>
        </w:rPr>
        <w:t xml:space="preserve"> would severely disrupt private contract negotiations betw</w:t>
      </w:r>
      <w:r>
        <w:rPr>
          <w:rFonts w:ascii="Arial" w:hAnsi="Arial" w:cs="Arial"/>
        </w:rPr>
        <w:t>een providers and health plans. In addition, t</w:t>
      </w:r>
      <w:r w:rsidRPr="00085290">
        <w:rPr>
          <w:rFonts w:ascii="Arial" w:hAnsi="Arial" w:cs="Arial"/>
        </w:rPr>
        <w:t xml:space="preserve">he </w:t>
      </w:r>
      <w:r>
        <w:rPr>
          <w:rFonts w:ascii="Arial" w:hAnsi="Arial" w:cs="Arial"/>
        </w:rPr>
        <w:t>department</w:t>
      </w:r>
      <w:r w:rsidRPr="00085290">
        <w:rPr>
          <w:rFonts w:ascii="Arial" w:hAnsi="Arial" w:cs="Arial"/>
        </w:rPr>
        <w:t>s’ proposal to require health plans to broadly and publicly disclose negotiated rates information violates both the A</w:t>
      </w:r>
      <w:r>
        <w:rPr>
          <w:rFonts w:ascii="Arial" w:hAnsi="Arial" w:cs="Arial"/>
        </w:rPr>
        <w:t>ffordable Care Act (A</w:t>
      </w:r>
      <w:r w:rsidRPr="00085290">
        <w:rPr>
          <w:rFonts w:ascii="Arial" w:hAnsi="Arial" w:cs="Arial"/>
        </w:rPr>
        <w:t>CA</w:t>
      </w:r>
      <w:r>
        <w:rPr>
          <w:rFonts w:ascii="Arial" w:hAnsi="Arial" w:cs="Arial"/>
        </w:rPr>
        <w:t>)</w:t>
      </w:r>
      <w:r w:rsidRPr="00085290">
        <w:rPr>
          <w:rFonts w:ascii="Arial" w:hAnsi="Arial" w:cs="Arial"/>
        </w:rPr>
        <w:t xml:space="preserve"> and the </w:t>
      </w:r>
      <w:r>
        <w:rPr>
          <w:rFonts w:ascii="Arial" w:hAnsi="Arial" w:cs="Arial"/>
        </w:rPr>
        <w:t>Administrative Procedure Act (</w:t>
      </w:r>
      <w:r w:rsidRPr="00085290">
        <w:rPr>
          <w:rFonts w:ascii="Arial" w:hAnsi="Arial" w:cs="Arial"/>
        </w:rPr>
        <w:t>APA</w:t>
      </w:r>
      <w:r>
        <w:rPr>
          <w:rFonts w:ascii="Arial" w:hAnsi="Arial" w:cs="Arial"/>
        </w:rPr>
        <w:t>)</w:t>
      </w:r>
      <w:r w:rsidRPr="00085290">
        <w:rPr>
          <w:rFonts w:ascii="Arial" w:hAnsi="Arial" w:cs="Arial"/>
        </w:rPr>
        <w:t>.</w:t>
      </w:r>
      <w:r>
        <w:rPr>
          <w:rFonts w:ascii="Arial" w:hAnsi="Arial" w:cs="Arial"/>
        </w:rPr>
        <w:t xml:space="preserve"> </w:t>
      </w:r>
    </w:p>
    <w:p w:rsidR="0012583B" w:rsidRDefault="0012583B" w:rsidP="00794FCF">
      <w:pPr>
        <w:rPr>
          <w:rFonts w:ascii="Arial" w:hAnsi="Arial" w:cs="Arial"/>
          <w:b/>
          <w:i/>
        </w:rPr>
      </w:pPr>
    </w:p>
    <w:p w:rsidR="00794FCF" w:rsidRPr="00085290" w:rsidRDefault="00755F48" w:rsidP="00794FCF">
      <w:pPr>
        <w:rPr>
          <w:rFonts w:ascii="Arial" w:hAnsi="Arial" w:cs="Arial"/>
        </w:rPr>
      </w:pPr>
      <w:r>
        <w:rPr>
          <w:rFonts w:ascii="Arial" w:hAnsi="Arial" w:cs="Arial"/>
          <w:b/>
          <w:i/>
        </w:rPr>
        <w:t>Lack of Statutory Authority</w:t>
      </w:r>
      <w:r w:rsidR="000501F5">
        <w:rPr>
          <w:rFonts w:ascii="Arial" w:hAnsi="Arial" w:cs="Arial"/>
          <w:b/>
          <w:i/>
        </w:rPr>
        <w:t xml:space="preserve"> Under the ACA</w:t>
      </w:r>
      <w:r>
        <w:rPr>
          <w:rFonts w:ascii="Arial" w:hAnsi="Arial" w:cs="Arial"/>
          <w:b/>
          <w:i/>
        </w:rPr>
        <w:t xml:space="preserve">. </w:t>
      </w:r>
      <w:r w:rsidR="00794FCF" w:rsidRPr="00085290">
        <w:rPr>
          <w:rFonts w:ascii="Arial" w:hAnsi="Arial" w:cs="Arial"/>
        </w:rPr>
        <w:t xml:space="preserve">On its face, the </w:t>
      </w:r>
      <w:r w:rsidR="00794FCF">
        <w:rPr>
          <w:rFonts w:ascii="Arial" w:hAnsi="Arial" w:cs="Arial"/>
        </w:rPr>
        <w:t>department</w:t>
      </w:r>
      <w:r w:rsidR="00794FCF" w:rsidRPr="00085290">
        <w:rPr>
          <w:rFonts w:ascii="Arial" w:hAnsi="Arial" w:cs="Arial"/>
        </w:rPr>
        <w:t>s’ proposal suffers from a clear, basic, and overriding flaw:</w:t>
      </w:r>
      <w:r w:rsidR="00694133">
        <w:rPr>
          <w:rFonts w:ascii="Arial" w:hAnsi="Arial" w:cs="Arial"/>
        </w:rPr>
        <w:t xml:space="preserve"> t</w:t>
      </w:r>
      <w:r w:rsidR="00794FCF" w:rsidRPr="00085290">
        <w:rPr>
          <w:rFonts w:ascii="Arial" w:hAnsi="Arial" w:cs="Arial"/>
        </w:rPr>
        <w:t xml:space="preserve">he absence of a nexus to </w:t>
      </w:r>
      <w:r w:rsidR="00613849">
        <w:rPr>
          <w:rFonts w:ascii="Arial" w:hAnsi="Arial" w:cs="Arial"/>
        </w:rPr>
        <w:t xml:space="preserve">its purported underlying </w:t>
      </w:r>
      <w:r w:rsidR="00794FCF" w:rsidRPr="00085290">
        <w:rPr>
          <w:rFonts w:ascii="Arial" w:hAnsi="Arial" w:cs="Arial"/>
        </w:rPr>
        <w:t>statutory authority.</w:t>
      </w:r>
      <w:r w:rsidR="00794FCF">
        <w:rPr>
          <w:rFonts w:ascii="Arial" w:hAnsi="Arial" w:cs="Arial"/>
        </w:rPr>
        <w:t xml:space="preserve"> </w:t>
      </w:r>
      <w:r w:rsidR="00794FCF" w:rsidRPr="00085290">
        <w:rPr>
          <w:rFonts w:ascii="Arial" w:hAnsi="Arial" w:cs="Arial"/>
        </w:rPr>
        <w:t xml:space="preserve">The proposed disclosure requirement does not further the statutory objective of promoting transparency in </w:t>
      </w:r>
      <w:r w:rsidR="00794FCF" w:rsidRPr="00085290">
        <w:rPr>
          <w:rFonts w:ascii="Arial" w:hAnsi="Arial" w:cs="Arial"/>
          <w:i/>
        </w:rPr>
        <w:t>coverage</w:t>
      </w:r>
      <w:r w:rsidR="00794FCF" w:rsidRPr="00085290">
        <w:rPr>
          <w:rFonts w:ascii="Arial" w:hAnsi="Arial" w:cs="Arial"/>
        </w:rPr>
        <w:t>.</w:t>
      </w:r>
      <w:r w:rsidR="00794FCF">
        <w:rPr>
          <w:rFonts w:ascii="Arial" w:hAnsi="Arial" w:cs="Arial"/>
        </w:rPr>
        <w:t xml:space="preserve"> </w:t>
      </w:r>
      <w:r w:rsidR="00794FCF" w:rsidRPr="00085290">
        <w:rPr>
          <w:rFonts w:ascii="Arial" w:hAnsi="Arial" w:cs="Arial"/>
        </w:rPr>
        <w:t xml:space="preserve">The </w:t>
      </w:r>
      <w:r w:rsidR="00794FCF">
        <w:rPr>
          <w:rFonts w:ascii="Arial" w:hAnsi="Arial" w:cs="Arial"/>
        </w:rPr>
        <w:t>department</w:t>
      </w:r>
      <w:r w:rsidR="00794FCF" w:rsidRPr="00085290">
        <w:rPr>
          <w:rFonts w:ascii="Arial" w:hAnsi="Arial" w:cs="Arial"/>
        </w:rPr>
        <w:t>s</w:t>
      </w:r>
      <w:r w:rsidR="003E59E9">
        <w:rPr>
          <w:rFonts w:ascii="Arial" w:hAnsi="Arial" w:cs="Arial"/>
        </w:rPr>
        <w:t>,</w:t>
      </w:r>
      <w:r w:rsidR="00794FCF" w:rsidRPr="00085290">
        <w:rPr>
          <w:rFonts w:ascii="Arial" w:hAnsi="Arial" w:cs="Arial"/>
        </w:rPr>
        <w:t xml:space="preserve"> therefore</w:t>
      </w:r>
      <w:r w:rsidR="003E59E9">
        <w:rPr>
          <w:rFonts w:ascii="Arial" w:hAnsi="Arial" w:cs="Arial"/>
        </w:rPr>
        <w:t>,</w:t>
      </w:r>
      <w:r w:rsidR="00794FCF" w:rsidRPr="00085290">
        <w:rPr>
          <w:rFonts w:ascii="Arial" w:hAnsi="Arial" w:cs="Arial"/>
        </w:rPr>
        <w:t xml:space="preserve"> lack the legal authority to compel the public disclosure of such highly sensitive and confidential pricing information.</w:t>
      </w:r>
      <w:r w:rsidR="00794FCF">
        <w:rPr>
          <w:rFonts w:ascii="Arial" w:hAnsi="Arial" w:cs="Arial"/>
        </w:rPr>
        <w:t xml:space="preserve"> </w:t>
      </w:r>
    </w:p>
    <w:p w:rsidR="00794FCF" w:rsidRPr="00085290" w:rsidRDefault="00794FCF" w:rsidP="00794FCF">
      <w:pPr>
        <w:rPr>
          <w:rFonts w:ascii="Arial" w:hAnsi="Arial" w:cs="Arial"/>
        </w:rPr>
      </w:pPr>
    </w:p>
    <w:p w:rsidR="00794FCF" w:rsidRPr="00085290" w:rsidRDefault="00794FCF" w:rsidP="00794FCF">
      <w:pPr>
        <w:rPr>
          <w:rFonts w:ascii="Arial" w:hAnsi="Arial" w:cs="Arial"/>
        </w:rPr>
      </w:pPr>
      <w:r w:rsidRPr="00085290">
        <w:rPr>
          <w:rFonts w:ascii="Arial" w:hAnsi="Arial" w:cs="Arial"/>
        </w:rPr>
        <w:t xml:space="preserve">The </w:t>
      </w:r>
      <w:r>
        <w:rPr>
          <w:rFonts w:ascii="Arial" w:hAnsi="Arial" w:cs="Arial"/>
        </w:rPr>
        <w:t>department</w:t>
      </w:r>
      <w:r w:rsidRPr="00085290">
        <w:rPr>
          <w:rFonts w:ascii="Arial" w:hAnsi="Arial" w:cs="Arial"/>
        </w:rPr>
        <w:t>s rely in the first instance on section 1311(e)(3) of the ACA as their purported authority to compel broad and public disclosure of negotiated rates information.</w:t>
      </w:r>
      <w:r w:rsidRPr="00085290">
        <w:rPr>
          <w:rFonts w:ascii="Arial" w:hAnsi="Arial" w:cs="Arial"/>
          <w:vertAlign w:val="superscript"/>
        </w:rPr>
        <w:footnoteReference w:id="1"/>
      </w:r>
      <w:r>
        <w:rPr>
          <w:rFonts w:ascii="Arial" w:hAnsi="Arial" w:cs="Arial"/>
        </w:rPr>
        <w:t xml:space="preserve"> </w:t>
      </w:r>
      <w:r w:rsidRPr="00085290">
        <w:rPr>
          <w:rFonts w:ascii="Arial" w:hAnsi="Arial" w:cs="Arial"/>
        </w:rPr>
        <w:t>Section 1311(e)(3) is titled “Transparency in coverage” and provides that each health insurance exchange must “require health plans seeking certification as qualified health plans to submit to the Exchange, the Secretary, [and] the State insurance commissioner, and make available to the public,” eight statutorily enumerated types of information related to coverage (e.g., claims payment policies and practices, periodic financial disclosures, data on enrollment).</w:t>
      </w:r>
      <w:r w:rsidRPr="00085290">
        <w:rPr>
          <w:rFonts w:ascii="Arial" w:hAnsi="Arial" w:cs="Arial"/>
          <w:vertAlign w:val="superscript"/>
        </w:rPr>
        <w:footnoteReference w:id="2"/>
      </w:r>
      <w:r>
        <w:rPr>
          <w:rFonts w:ascii="Arial" w:hAnsi="Arial" w:cs="Arial"/>
        </w:rPr>
        <w:t xml:space="preserve"> </w:t>
      </w:r>
      <w:r w:rsidRPr="00085290">
        <w:rPr>
          <w:rFonts w:ascii="Arial" w:hAnsi="Arial" w:cs="Arial"/>
        </w:rPr>
        <w:t>Section 1311(e)(3) also includes a catch-all provision that requires disclosure of “[o]ther information as determined appropriate by the Secretary.”</w:t>
      </w:r>
      <w:r w:rsidRPr="00085290">
        <w:rPr>
          <w:rFonts w:ascii="Arial" w:hAnsi="Arial" w:cs="Arial"/>
          <w:vertAlign w:val="superscript"/>
        </w:rPr>
        <w:footnoteReference w:id="3"/>
      </w:r>
      <w:r>
        <w:rPr>
          <w:rFonts w:ascii="Arial" w:hAnsi="Arial" w:cs="Arial"/>
        </w:rPr>
        <w:t xml:space="preserve"> </w:t>
      </w:r>
      <w:r w:rsidRPr="00085290">
        <w:rPr>
          <w:rFonts w:ascii="Arial" w:hAnsi="Arial" w:cs="Arial"/>
        </w:rPr>
        <w:t xml:space="preserve">The </w:t>
      </w:r>
      <w:r>
        <w:rPr>
          <w:rFonts w:ascii="Arial" w:hAnsi="Arial" w:cs="Arial"/>
        </w:rPr>
        <w:t>department</w:t>
      </w:r>
      <w:r w:rsidRPr="00085290">
        <w:rPr>
          <w:rFonts w:ascii="Arial" w:hAnsi="Arial" w:cs="Arial"/>
        </w:rPr>
        <w:t>s assert that negotiated rates are “other information” that is a proper subject of disclosure under the catch-all provision.</w:t>
      </w:r>
      <w:r w:rsidRPr="00085290">
        <w:rPr>
          <w:rFonts w:ascii="Arial" w:hAnsi="Arial" w:cs="Arial"/>
          <w:vertAlign w:val="superscript"/>
        </w:rPr>
        <w:footnoteReference w:id="4"/>
      </w:r>
      <w:r w:rsidRPr="00085290">
        <w:rPr>
          <w:rFonts w:ascii="Arial" w:hAnsi="Arial" w:cs="Arial"/>
        </w:rPr>
        <w:t xml:space="preserve"> </w:t>
      </w:r>
    </w:p>
    <w:p w:rsidR="00794FCF" w:rsidRPr="00085290" w:rsidRDefault="00794FCF" w:rsidP="00794FCF">
      <w:pPr>
        <w:rPr>
          <w:rFonts w:ascii="Arial" w:hAnsi="Arial" w:cs="Arial"/>
        </w:rPr>
      </w:pPr>
    </w:p>
    <w:p w:rsidR="00794FCF" w:rsidRPr="00085290" w:rsidRDefault="00794FCF" w:rsidP="00794FCF">
      <w:pPr>
        <w:rPr>
          <w:rFonts w:ascii="Arial" w:hAnsi="Arial" w:cs="Arial"/>
        </w:rPr>
      </w:pPr>
      <w:r w:rsidRPr="00085290">
        <w:rPr>
          <w:rFonts w:ascii="Arial" w:hAnsi="Arial" w:cs="Arial"/>
        </w:rPr>
        <w:t xml:space="preserve">As section 1311(e)(3)’s heading, as well as its context, make clear, however, </w:t>
      </w:r>
      <w:r w:rsidRPr="00085290">
        <w:rPr>
          <w:rFonts w:ascii="Arial" w:hAnsi="Arial" w:cs="Arial"/>
          <w:i/>
        </w:rPr>
        <w:t>all</w:t>
      </w:r>
      <w:r w:rsidRPr="00085290">
        <w:rPr>
          <w:rFonts w:ascii="Arial" w:hAnsi="Arial" w:cs="Arial"/>
        </w:rPr>
        <w:t xml:space="preserve"> of the information subject to disclosure under section 1311(e)(3) must be related to </w:t>
      </w:r>
      <w:r w:rsidRPr="00085290">
        <w:rPr>
          <w:rFonts w:ascii="Arial" w:hAnsi="Arial" w:cs="Arial"/>
        </w:rPr>
        <w:lastRenderedPageBreak/>
        <w:t xml:space="preserve">“[t]ransparency in </w:t>
      </w:r>
      <w:r w:rsidRPr="00085290">
        <w:rPr>
          <w:rFonts w:ascii="Arial" w:hAnsi="Arial" w:cs="Arial"/>
          <w:i/>
        </w:rPr>
        <w:t>coverage</w:t>
      </w:r>
      <w:r w:rsidRPr="00085290">
        <w:rPr>
          <w:rFonts w:ascii="Arial" w:hAnsi="Arial" w:cs="Arial"/>
        </w:rPr>
        <w:t>.”</w:t>
      </w:r>
      <w:r w:rsidRPr="00085290">
        <w:rPr>
          <w:rFonts w:ascii="Arial" w:hAnsi="Arial" w:cs="Arial"/>
          <w:vertAlign w:val="superscript"/>
        </w:rPr>
        <w:footnoteReference w:id="5"/>
      </w:r>
      <w:r>
        <w:rPr>
          <w:rFonts w:ascii="Arial" w:hAnsi="Arial" w:cs="Arial"/>
        </w:rPr>
        <w:t xml:space="preserve"> </w:t>
      </w:r>
      <w:r w:rsidRPr="00085290">
        <w:rPr>
          <w:rFonts w:ascii="Arial" w:hAnsi="Arial" w:cs="Arial"/>
        </w:rPr>
        <w:t>This means that, where the Secretary designates “other information” for disclosure under section 1311(e)(3)’s catch-all provision, that other information must further transparency in coverage, just as the statutorily enumerated types of information do.</w:t>
      </w:r>
    </w:p>
    <w:p w:rsidR="00794FCF" w:rsidRPr="00085290" w:rsidRDefault="00794FCF" w:rsidP="00794FCF">
      <w:pPr>
        <w:rPr>
          <w:rFonts w:ascii="Arial" w:hAnsi="Arial" w:cs="Arial"/>
        </w:rPr>
      </w:pPr>
    </w:p>
    <w:p w:rsidR="00794FCF" w:rsidRPr="00085290" w:rsidRDefault="00794FCF" w:rsidP="00794FCF">
      <w:pPr>
        <w:rPr>
          <w:rFonts w:ascii="Arial" w:hAnsi="Arial" w:cs="Arial"/>
        </w:rPr>
      </w:pPr>
      <w:r w:rsidRPr="00085290">
        <w:rPr>
          <w:rFonts w:ascii="Arial" w:hAnsi="Arial" w:cs="Arial"/>
        </w:rPr>
        <w:t xml:space="preserve">The </w:t>
      </w:r>
      <w:r>
        <w:rPr>
          <w:rFonts w:ascii="Arial" w:hAnsi="Arial" w:cs="Arial"/>
        </w:rPr>
        <w:t>department</w:t>
      </w:r>
      <w:r w:rsidRPr="00085290">
        <w:rPr>
          <w:rFonts w:ascii="Arial" w:hAnsi="Arial" w:cs="Arial"/>
        </w:rPr>
        <w:t xml:space="preserve">s cannot lawfully require disclosure of negotiated rates information under section 1311(e)(3) because it relates to </w:t>
      </w:r>
      <w:r w:rsidRPr="00085290">
        <w:rPr>
          <w:rFonts w:ascii="Arial" w:hAnsi="Arial" w:cs="Arial"/>
          <w:i/>
        </w:rPr>
        <w:t>price</w:t>
      </w:r>
      <w:r w:rsidR="003E59E9">
        <w:rPr>
          <w:rFonts w:ascii="Arial" w:hAnsi="Arial" w:cs="Arial"/>
          <w:i/>
        </w:rPr>
        <w:t xml:space="preserve"> –</w:t>
      </w:r>
      <w:r w:rsidRPr="00085290">
        <w:rPr>
          <w:rFonts w:ascii="Arial" w:hAnsi="Arial" w:cs="Arial"/>
          <w:i/>
        </w:rPr>
        <w:t xml:space="preserve"> </w:t>
      </w:r>
      <w:r w:rsidRPr="00085290">
        <w:rPr>
          <w:rFonts w:ascii="Arial" w:hAnsi="Arial" w:cs="Arial"/>
        </w:rPr>
        <w:t>not coverage.</w:t>
      </w:r>
      <w:r>
        <w:rPr>
          <w:rFonts w:ascii="Arial" w:hAnsi="Arial" w:cs="Arial"/>
        </w:rPr>
        <w:t xml:space="preserve"> </w:t>
      </w:r>
      <w:r w:rsidR="00755F48">
        <w:rPr>
          <w:rFonts w:ascii="Arial" w:hAnsi="Arial" w:cs="Arial"/>
        </w:rPr>
        <w:t>While the departments attempt to link the two by stating that the negotiated rates are a necessary input for some cost-sharing calculations, this is itself a concession that the</w:t>
      </w:r>
      <w:r w:rsidRPr="00085290">
        <w:rPr>
          <w:rFonts w:ascii="Arial" w:hAnsi="Arial" w:cs="Arial"/>
        </w:rPr>
        <w:t xml:space="preserve"> disclosure of negotiated rates information</w:t>
      </w:r>
      <w:r w:rsidR="00613849">
        <w:rPr>
          <w:rFonts w:ascii="Arial" w:hAnsi="Arial" w:cs="Arial"/>
        </w:rPr>
        <w:t>, in and of itself,</w:t>
      </w:r>
      <w:r w:rsidR="00755F48">
        <w:rPr>
          <w:rFonts w:ascii="Arial" w:hAnsi="Arial" w:cs="Arial"/>
        </w:rPr>
        <w:t xml:space="preserve"> </w:t>
      </w:r>
      <w:r w:rsidRPr="00085290">
        <w:rPr>
          <w:rFonts w:ascii="Arial" w:hAnsi="Arial" w:cs="Arial"/>
        </w:rPr>
        <w:t xml:space="preserve">furthers </w:t>
      </w:r>
      <w:r w:rsidR="00613849">
        <w:rPr>
          <w:rFonts w:ascii="Arial" w:hAnsi="Arial" w:cs="Arial"/>
        </w:rPr>
        <w:t xml:space="preserve">only </w:t>
      </w:r>
      <w:r w:rsidRPr="00085290">
        <w:rPr>
          <w:rFonts w:ascii="Arial" w:hAnsi="Arial" w:cs="Arial"/>
          <w:i/>
        </w:rPr>
        <w:t>price</w:t>
      </w:r>
      <w:r w:rsidRPr="00085290">
        <w:rPr>
          <w:rFonts w:ascii="Arial" w:hAnsi="Arial" w:cs="Arial"/>
        </w:rPr>
        <w:t xml:space="preserve"> transparency, as opposed to the statutorily required objective of promoting </w:t>
      </w:r>
      <w:r w:rsidRPr="00085290">
        <w:rPr>
          <w:rFonts w:ascii="Arial" w:hAnsi="Arial" w:cs="Arial"/>
          <w:i/>
        </w:rPr>
        <w:t>coverage</w:t>
      </w:r>
      <w:r w:rsidRPr="00085290">
        <w:rPr>
          <w:rFonts w:ascii="Arial" w:hAnsi="Arial" w:cs="Arial"/>
        </w:rPr>
        <w:t xml:space="preserve"> transparency.</w:t>
      </w:r>
      <w:r>
        <w:rPr>
          <w:rFonts w:ascii="Arial" w:hAnsi="Arial" w:cs="Arial"/>
        </w:rPr>
        <w:t xml:space="preserve"> </w:t>
      </w:r>
      <w:r w:rsidRPr="00085290">
        <w:rPr>
          <w:rFonts w:ascii="Arial" w:hAnsi="Arial" w:cs="Arial"/>
        </w:rPr>
        <w:t xml:space="preserve">Moreover, the </w:t>
      </w:r>
      <w:r>
        <w:rPr>
          <w:rFonts w:ascii="Arial" w:hAnsi="Arial" w:cs="Arial"/>
        </w:rPr>
        <w:t>department</w:t>
      </w:r>
      <w:r w:rsidRPr="00085290">
        <w:rPr>
          <w:rFonts w:ascii="Arial" w:hAnsi="Arial" w:cs="Arial"/>
        </w:rPr>
        <w:t>s</w:t>
      </w:r>
      <w:r w:rsidR="00755F48">
        <w:rPr>
          <w:rFonts w:ascii="Arial" w:hAnsi="Arial" w:cs="Arial"/>
        </w:rPr>
        <w:t>’</w:t>
      </w:r>
      <w:r w:rsidRPr="00085290">
        <w:rPr>
          <w:rFonts w:ascii="Arial" w:hAnsi="Arial" w:cs="Arial"/>
        </w:rPr>
        <w:t xml:space="preserve"> </w:t>
      </w:r>
      <w:r w:rsidRPr="0012583B">
        <w:rPr>
          <w:rFonts w:ascii="Arial" w:hAnsi="Arial" w:cs="Arial"/>
        </w:rPr>
        <w:t>separate</w:t>
      </w:r>
      <w:r w:rsidR="00755F48">
        <w:rPr>
          <w:rFonts w:ascii="Arial" w:hAnsi="Arial" w:cs="Arial"/>
        </w:rPr>
        <w:t xml:space="preserve"> proposal</w:t>
      </w:r>
      <w:r w:rsidRPr="00085290">
        <w:rPr>
          <w:rFonts w:ascii="Arial" w:hAnsi="Arial" w:cs="Arial"/>
        </w:rPr>
        <w:t xml:space="preserve"> mandat</w:t>
      </w:r>
      <w:r w:rsidR="00755F48">
        <w:rPr>
          <w:rFonts w:ascii="Arial" w:hAnsi="Arial" w:cs="Arial"/>
        </w:rPr>
        <w:t>ing</w:t>
      </w:r>
      <w:r w:rsidRPr="00085290">
        <w:rPr>
          <w:rFonts w:ascii="Arial" w:hAnsi="Arial" w:cs="Arial"/>
        </w:rPr>
        <w:t xml:space="preserve"> </w:t>
      </w:r>
      <w:r w:rsidR="00755F48">
        <w:rPr>
          <w:rFonts w:ascii="Arial" w:hAnsi="Arial" w:cs="Arial"/>
        </w:rPr>
        <w:t xml:space="preserve">the </w:t>
      </w:r>
      <w:r w:rsidRPr="00085290">
        <w:rPr>
          <w:rFonts w:ascii="Arial" w:hAnsi="Arial" w:cs="Arial"/>
        </w:rPr>
        <w:t>disclosure of estimated cost-sharing liability and accumulated financial responsibility</w:t>
      </w:r>
      <w:r w:rsidRPr="00085290">
        <w:rPr>
          <w:rFonts w:ascii="Arial" w:hAnsi="Arial" w:cs="Arial"/>
          <w:vertAlign w:val="superscript"/>
        </w:rPr>
        <w:footnoteReference w:id="6"/>
      </w:r>
      <w:r w:rsidR="00755F48">
        <w:rPr>
          <w:rFonts w:ascii="Arial" w:hAnsi="Arial" w:cs="Arial"/>
        </w:rPr>
        <w:t xml:space="preserve"> means that the</w:t>
      </w:r>
      <w:r w:rsidRPr="00085290">
        <w:rPr>
          <w:rFonts w:ascii="Arial" w:hAnsi="Arial" w:cs="Arial"/>
        </w:rPr>
        <w:t xml:space="preserve"> disclosure proposed here does </w:t>
      </w:r>
      <w:r w:rsidRPr="0012583B">
        <w:rPr>
          <w:rFonts w:ascii="Arial" w:hAnsi="Arial" w:cs="Arial"/>
        </w:rPr>
        <w:t>nothing</w:t>
      </w:r>
      <w:r w:rsidRPr="00085290">
        <w:rPr>
          <w:rFonts w:ascii="Arial" w:hAnsi="Arial" w:cs="Arial"/>
        </w:rPr>
        <w:t xml:space="preserve"> to further promote cost-sharing transparency in </w:t>
      </w:r>
      <w:r w:rsidR="00755F48">
        <w:rPr>
          <w:rFonts w:ascii="Arial" w:hAnsi="Arial" w:cs="Arial"/>
        </w:rPr>
        <w:t>this</w:t>
      </w:r>
      <w:r w:rsidRPr="00085290">
        <w:rPr>
          <w:rFonts w:ascii="Arial" w:hAnsi="Arial" w:cs="Arial"/>
        </w:rPr>
        <w:t xml:space="preserve"> regard.</w:t>
      </w:r>
      <w:r>
        <w:rPr>
          <w:rFonts w:ascii="Arial" w:hAnsi="Arial" w:cs="Arial"/>
        </w:rPr>
        <w:t xml:space="preserve"> </w:t>
      </w:r>
    </w:p>
    <w:p w:rsidR="00794FCF" w:rsidRPr="00085290" w:rsidRDefault="00794FCF" w:rsidP="00794FCF">
      <w:pPr>
        <w:rPr>
          <w:rFonts w:ascii="Arial" w:hAnsi="Arial" w:cs="Arial"/>
        </w:rPr>
      </w:pPr>
    </w:p>
    <w:p w:rsidR="00794FCF" w:rsidRPr="00085290" w:rsidRDefault="00755F48" w:rsidP="00755F48">
      <w:pPr>
        <w:rPr>
          <w:rFonts w:ascii="Arial" w:hAnsi="Arial" w:cs="Arial"/>
        </w:rPr>
      </w:pPr>
      <w:r>
        <w:rPr>
          <w:rFonts w:ascii="Arial" w:hAnsi="Arial" w:cs="Arial"/>
        </w:rPr>
        <w:t>In addition, t</w:t>
      </w:r>
      <w:r w:rsidR="00794FCF" w:rsidRPr="00085290">
        <w:rPr>
          <w:rFonts w:ascii="Arial" w:hAnsi="Arial" w:cs="Arial"/>
        </w:rPr>
        <w:t xml:space="preserve">he </w:t>
      </w:r>
      <w:r w:rsidR="00794FCF">
        <w:rPr>
          <w:rFonts w:ascii="Arial" w:hAnsi="Arial" w:cs="Arial"/>
        </w:rPr>
        <w:t>department</w:t>
      </w:r>
      <w:r w:rsidR="00794FCF" w:rsidRPr="00085290">
        <w:rPr>
          <w:rFonts w:ascii="Arial" w:hAnsi="Arial" w:cs="Arial"/>
        </w:rPr>
        <w:t xml:space="preserve">s are proposing to require public disclosure of information that the </w:t>
      </w:r>
      <w:r w:rsidR="00794FCF">
        <w:rPr>
          <w:rFonts w:ascii="Arial" w:hAnsi="Arial" w:cs="Arial"/>
        </w:rPr>
        <w:t>department</w:t>
      </w:r>
      <w:r w:rsidR="00794FCF" w:rsidRPr="00085290">
        <w:rPr>
          <w:rFonts w:ascii="Arial" w:hAnsi="Arial" w:cs="Arial"/>
        </w:rPr>
        <w:t>s themselves are statutorily required to protect against such disclosure.</w:t>
      </w:r>
      <w:r w:rsidR="00794FCF">
        <w:rPr>
          <w:rFonts w:ascii="Arial" w:hAnsi="Arial" w:cs="Arial"/>
        </w:rPr>
        <w:t xml:space="preserve"> </w:t>
      </w:r>
      <w:r w:rsidR="00794FCF" w:rsidRPr="00085290">
        <w:rPr>
          <w:rFonts w:ascii="Arial" w:hAnsi="Arial" w:cs="Arial"/>
        </w:rPr>
        <w:t xml:space="preserve">As the </w:t>
      </w:r>
      <w:r w:rsidR="00794FCF">
        <w:rPr>
          <w:rFonts w:ascii="Arial" w:hAnsi="Arial" w:cs="Arial"/>
        </w:rPr>
        <w:t>department</w:t>
      </w:r>
      <w:r w:rsidR="00794FCF" w:rsidRPr="00085290">
        <w:rPr>
          <w:rFonts w:ascii="Arial" w:hAnsi="Arial" w:cs="Arial"/>
        </w:rPr>
        <w:t>s themselves recognize,</w:t>
      </w:r>
      <w:r w:rsidR="00794FCF" w:rsidRPr="00085290">
        <w:rPr>
          <w:rFonts w:ascii="Arial" w:hAnsi="Arial" w:cs="Arial"/>
          <w:vertAlign w:val="superscript"/>
        </w:rPr>
        <w:footnoteReference w:id="7"/>
      </w:r>
      <w:r w:rsidR="00794FCF" w:rsidRPr="00085290">
        <w:rPr>
          <w:rFonts w:ascii="Arial" w:hAnsi="Arial" w:cs="Arial"/>
        </w:rPr>
        <w:t xml:space="preserve"> negotiated rates are typically held as </w:t>
      </w:r>
      <w:r w:rsidR="003E59E9">
        <w:rPr>
          <w:rFonts w:ascii="Arial" w:hAnsi="Arial" w:cs="Arial"/>
        </w:rPr>
        <w:t>“</w:t>
      </w:r>
      <w:r w:rsidR="00794FCF" w:rsidRPr="00085290">
        <w:rPr>
          <w:rFonts w:ascii="Arial" w:hAnsi="Arial" w:cs="Arial"/>
        </w:rPr>
        <w:t>trade secrets</w:t>
      </w:r>
      <w:r w:rsidR="003E59E9">
        <w:rPr>
          <w:rFonts w:ascii="Arial" w:hAnsi="Arial" w:cs="Arial"/>
        </w:rPr>
        <w:t>”</w:t>
      </w:r>
      <w:r w:rsidR="00794FCF" w:rsidRPr="00085290">
        <w:rPr>
          <w:rFonts w:ascii="Arial" w:hAnsi="Arial" w:cs="Arial"/>
        </w:rPr>
        <w:t xml:space="preserve"> or other </w:t>
      </w:r>
      <w:r w:rsidR="003E59E9">
        <w:rPr>
          <w:rFonts w:ascii="Arial" w:hAnsi="Arial" w:cs="Arial"/>
        </w:rPr>
        <w:t>“</w:t>
      </w:r>
      <w:r w:rsidR="00794FCF" w:rsidRPr="00085290">
        <w:rPr>
          <w:rFonts w:ascii="Arial" w:hAnsi="Arial" w:cs="Arial"/>
        </w:rPr>
        <w:t>confidential commercial information.</w:t>
      </w:r>
      <w:r w:rsidR="003E59E9">
        <w:rPr>
          <w:rFonts w:ascii="Arial" w:hAnsi="Arial" w:cs="Arial"/>
        </w:rPr>
        <w:t>”</w:t>
      </w:r>
      <w:r w:rsidR="00794FCF">
        <w:rPr>
          <w:rFonts w:ascii="Arial" w:hAnsi="Arial" w:cs="Arial"/>
        </w:rPr>
        <w:t xml:space="preserve"> </w:t>
      </w:r>
      <w:r w:rsidR="00794FCF" w:rsidRPr="00085290">
        <w:rPr>
          <w:rFonts w:ascii="Arial" w:hAnsi="Arial" w:cs="Arial"/>
        </w:rPr>
        <w:t>Congress has enacted robust statutory regimes, such as the Trade Secrets Act, the Privacy Act, and the Freedom of Information Act (FOIA), that expressly protect such highly sensitive and confidential information from public disclosure when it is obtained by the Government.</w:t>
      </w:r>
      <w:r w:rsidR="00794FCF" w:rsidRPr="00085290">
        <w:rPr>
          <w:rFonts w:ascii="Arial" w:hAnsi="Arial" w:cs="Arial"/>
          <w:vertAlign w:val="superscript"/>
        </w:rPr>
        <w:footnoteReference w:id="8"/>
      </w:r>
      <w:r w:rsidR="00794FCF">
        <w:rPr>
          <w:rFonts w:ascii="Arial" w:hAnsi="Arial" w:cs="Arial"/>
        </w:rPr>
        <w:t xml:space="preserve"> </w:t>
      </w:r>
      <w:r w:rsidR="00794FCF" w:rsidRPr="00085290">
        <w:rPr>
          <w:rFonts w:ascii="Arial" w:hAnsi="Arial" w:cs="Arial"/>
        </w:rPr>
        <w:t xml:space="preserve">The </w:t>
      </w:r>
      <w:r w:rsidR="00794FCF">
        <w:rPr>
          <w:rFonts w:ascii="Arial" w:hAnsi="Arial" w:cs="Arial"/>
        </w:rPr>
        <w:t>department</w:t>
      </w:r>
      <w:r w:rsidR="00794FCF" w:rsidRPr="00085290">
        <w:rPr>
          <w:rFonts w:ascii="Arial" w:hAnsi="Arial" w:cs="Arial"/>
        </w:rPr>
        <w:t xml:space="preserve">s are now proposing to require health plans to publicly disclose the very same types of information that the </w:t>
      </w:r>
      <w:r w:rsidR="00794FCF">
        <w:rPr>
          <w:rFonts w:ascii="Arial" w:hAnsi="Arial" w:cs="Arial"/>
        </w:rPr>
        <w:t>department</w:t>
      </w:r>
      <w:r w:rsidR="00794FCF" w:rsidRPr="00085290">
        <w:rPr>
          <w:rFonts w:ascii="Arial" w:hAnsi="Arial" w:cs="Arial"/>
        </w:rPr>
        <w:t>s are statutorily prohibited from making public.</w:t>
      </w:r>
      <w:r w:rsidR="00794FCF">
        <w:rPr>
          <w:rFonts w:ascii="Arial" w:hAnsi="Arial" w:cs="Arial"/>
        </w:rPr>
        <w:t xml:space="preserve"> </w:t>
      </w:r>
      <w:r w:rsidR="00794FCF" w:rsidRPr="00085290">
        <w:rPr>
          <w:rFonts w:ascii="Arial" w:hAnsi="Arial" w:cs="Arial"/>
        </w:rPr>
        <w:t xml:space="preserve">The </w:t>
      </w:r>
      <w:r w:rsidR="00794FCF">
        <w:rPr>
          <w:rFonts w:ascii="Arial" w:hAnsi="Arial" w:cs="Arial"/>
        </w:rPr>
        <w:t>department</w:t>
      </w:r>
      <w:r w:rsidR="00794FCF" w:rsidRPr="00085290">
        <w:rPr>
          <w:rFonts w:ascii="Arial" w:hAnsi="Arial" w:cs="Arial"/>
        </w:rPr>
        <w:t xml:space="preserve">s may not compel third parties to do indirectly what the </w:t>
      </w:r>
      <w:r w:rsidR="00794FCF">
        <w:rPr>
          <w:rFonts w:ascii="Arial" w:hAnsi="Arial" w:cs="Arial"/>
        </w:rPr>
        <w:t>department</w:t>
      </w:r>
      <w:r w:rsidR="00794FCF" w:rsidRPr="00085290">
        <w:rPr>
          <w:rFonts w:ascii="Arial" w:hAnsi="Arial" w:cs="Arial"/>
        </w:rPr>
        <w:t>s themselves may not do directly.</w:t>
      </w:r>
      <w:r w:rsidR="00794FCF" w:rsidRPr="00085290">
        <w:rPr>
          <w:rFonts w:ascii="Arial" w:hAnsi="Arial" w:cs="Arial"/>
          <w:vertAlign w:val="superscript"/>
        </w:rPr>
        <w:footnoteReference w:id="9"/>
      </w:r>
      <w:r w:rsidR="00794FCF">
        <w:rPr>
          <w:rFonts w:ascii="Arial" w:hAnsi="Arial" w:cs="Arial"/>
        </w:rPr>
        <w:t xml:space="preserve"> </w:t>
      </w:r>
    </w:p>
    <w:p w:rsidR="00794FCF" w:rsidRDefault="00794FCF" w:rsidP="00794FCF">
      <w:pPr>
        <w:rPr>
          <w:rFonts w:ascii="Arial" w:hAnsi="Arial" w:cs="Arial"/>
        </w:rPr>
      </w:pPr>
    </w:p>
    <w:p w:rsidR="00B16A0F" w:rsidRDefault="00755F48" w:rsidP="00794FCF">
      <w:pPr>
        <w:rPr>
          <w:rFonts w:ascii="Arial" w:hAnsi="Arial" w:cs="Arial"/>
        </w:rPr>
      </w:pPr>
      <w:r>
        <w:rPr>
          <w:rFonts w:ascii="Arial" w:hAnsi="Arial" w:cs="Arial"/>
          <w:b/>
          <w:i/>
        </w:rPr>
        <w:t>APA Violation</w:t>
      </w:r>
      <w:r w:rsidRPr="00755F48">
        <w:rPr>
          <w:rFonts w:ascii="Arial" w:hAnsi="Arial" w:cs="Arial"/>
          <w:b/>
          <w:i/>
        </w:rPr>
        <w:t>.</w:t>
      </w:r>
      <w:r w:rsidR="0012583B" w:rsidRPr="0012583B">
        <w:rPr>
          <w:rFonts w:ascii="Arial" w:hAnsi="Arial" w:cs="Arial"/>
        </w:rPr>
        <w:t xml:space="preserve"> </w:t>
      </w:r>
      <w:r>
        <w:rPr>
          <w:rFonts w:ascii="Arial" w:hAnsi="Arial" w:cs="Arial"/>
        </w:rPr>
        <w:t xml:space="preserve">The </w:t>
      </w:r>
      <w:r w:rsidR="0012583B" w:rsidRPr="0012583B">
        <w:rPr>
          <w:rFonts w:ascii="Arial" w:hAnsi="Arial" w:cs="Arial"/>
        </w:rPr>
        <w:t>reasoning on which the department</w:t>
      </w:r>
      <w:r>
        <w:rPr>
          <w:rFonts w:ascii="Arial" w:hAnsi="Arial" w:cs="Arial"/>
        </w:rPr>
        <w:t>s rely on to</w:t>
      </w:r>
      <w:r w:rsidR="0012583B" w:rsidRPr="0012583B">
        <w:rPr>
          <w:rFonts w:ascii="Arial" w:hAnsi="Arial" w:cs="Arial"/>
        </w:rPr>
        <w:t xml:space="preserve"> support their proposal reveals that the proposal is arbitrary and capricious in violation of the APA. The departments rely on five justifications for requiring broad and public disclosure of negotiated rates information</w:t>
      </w:r>
      <w:r w:rsidR="00B16A0F">
        <w:rPr>
          <w:rFonts w:ascii="Arial" w:hAnsi="Arial" w:cs="Arial"/>
        </w:rPr>
        <w:t>:</w:t>
      </w:r>
    </w:p>
    <w:p w:rsidR="00B16A0F" w:rsidRDefault="00B16A0F" w:rsidP="00794FCF">
      <w:pPr>
        <w:rPr>
          <w:rFonts w:ascii="Arial" w:hAnsi="Arial" w:cs="Arial"/>
        </w:rPr>
      </w:pPr>
    </w:p>
    <w:p w:rsidR="00B16A0F" w:rsidRPr="005B40B1" w:rsidRDefault="00B16A0F" w:rsidP="005B40B1">
      <w:pPr>
        <w:numPr>
          <w:ilvl w:val="0"/>
          <w:numId w:val="2"/>
        </w:numPr>
        <w:spacing w:after="120"/>
        <w:rPr>
          <w:rFonts w:ascii="Arial" w:hAnsi="Arial" w:cs="Arial"/>
        </w:rPr>
      </w:pPr>
      <w:r w:rsidRPr="00085290">
        <w:rPr>
          <w:rFonts w:ascii="Arial" w:hAnsi="Arial" w:cs="Arial"/>
        </w:rPr>
        <w:t xml:space="preserve">First, the </w:t>
      </w:r>
      <w:r>
        <w:rPr>
          <w:rFonts w:ascii="Arial" w:hAnsi="Arial" w:cs="Arial"/>
        </w:rPr>
        <w:t>department</w:t>
      </w:r>
      <w:r w:rsidRPr="00085290">
        <w:rPr>
          <w:rFonts w:ascii="Arial" w:hAnsi="Arial" w:cs="Arial"/>
        </w:rPr>
        <w:t>s assert that uninsured consumers will use negotiated rate information to select health care service providers.</w:t>
      </w:r>
      <w:r w:rsidRPr="00085290">
        <w:rPr>
          <w:rFonts w:ascii="Arial" w:hAnsi="Arial" w:cs="Arial"/>
          <w:vertAlign w:val="superscript"/>
        </w:rPr>
        <w:footnoteReference w:id="10"/>
      </w:r>
    </w:p>
    <w:p w:rsidR="00B16A0F" w:rsidRPr="005B40B1" w:rsidRDefault="00B16A0F" w:rsidP="005B40B1">
      <w:pPr>
        <w:numPr>
          <w:ilvl w:val="0"/>
          <w:numId w:val="2"/>
        </w:numPr>
        <w:spacing w:after="120"/>
        <w:rPr>
          <w:rFonts w:ascii="Arial" w:hAnsi="Arial" w:cs="Arial"/>
        </w:rPr>
      </w:pPr>
      <w:r w:rsidRPr="00085290">
        <w:rPr>
          <w:rFonts w:ascii="Arial" w:hAnsi="Arial" w:cs="Arial"/>
        </w:rPr>
        <w:lastRenderedPageBreak/>
        <w:t xml:space="preserve">Second, the </w:t>
      </w:r>
      <w:r>
        <w:rPr>
          <w:rFonts w:ascii="Arial" w:hAnsi="Arial" w:cs="Arial"/>
        </w:rPr>
        <w:t>department</w:t>
      </w:r>
      <w:r w:rsidRPr="00085290">
        <w:rPr>
          <w:rFonts w:ascii="Arial" w:hAnsi="Arial" w:cs="Arial"/>
        </w:rPr>
        <w:t>s assert that negotiated rate information will be used by individuals who wish to “evaluate available options [in the] group or individual market.”</w:t>
      </w:r>
      <w:r w:rsidRPr="00085290">
        <w:rPr>
          <w:rFonts w:ascii="Arial" w:hAnsi="Arial" w:cs="Arial"/>
          <w:vertAlign w:val="superscript"/>
        </w:rPr>
        <w:footnoteReference w:id="11"/>
      </w:r>
    </w:p>
    <w:p w:rsidR="00B16A0F" w:rsidRPr="005B40B1" w:rsidRDefault="00B16A0F" w:rsidP="005B40B1">
      <w:pPr>
        <w:numPr>
          <w:ilvl w:val="0"/>
          <w:numId w:val="2"/>
        </w:numPr>
        <w:spacing w:after="120"/>
        <w:rPr>
          <w:rFonts w:ascii="Arial" w:hAnsi="Arial" w:cs="Arial"/>
        </w:rPr>
      </w:pPr>
      <w:r w:rsidRPr="00085290">
        <w:rPr>
          <w:rFonts w:ascii="Arial" w:hAnsi="Arial" w:cs="Arial"/>
        </w:rPr>
        <w:t xml:space="preserve">Third, the </w:t>
      </w:r>
      <w:r>
        <w:rPr>
          <w:rFonts w:ascii="Arial" w:hAnsi="Arial" w:cs="Arial"/>
        </w:rPr>
        <w:t>department</w:t>
      </w:r>
      <w:r w:rsidRPr="00085290">
        <w:rPr>
          <w:rFonts w:ascii="Arial" w:hAnsi="Arial" w:cs="Arial"/>
        </w:rPr>
        <w:t>s assert that public disclosure of negotiated rates “is necessary to enable consumers to use and understand price transparency data in a manner that will increase competition, reduce disparities in health care prices, and potentially lower health care costs.”</w:t>
      </w:r>
      <w:r w:rsidRPr="00085290">
        <w:rPr>
          <w:rFonts w:ascii="Arial" w:hAnsi="Arial" w:cs="Arial"/>
          <w:vertAlign w:val="superscript"/>
        </w:rPr>
        <w:footnoteReference w:id="12"/>
      </w:r>
    </w:p>
    <w:p w:rsidR="00B16A0F" w:rsidRPr="005B40B1" w:rsidRDefault="00B16A0F" w:rsidP="005B40B1">
      <w:pPr>
        <w:numPr>
          <w:ilvl w:val="0"/>
          <w:numId w:val="2"/>
        </w:numPr>
        <w:spacing w:after="120"/>
        <w:rPr>
          <w:rFonts w:ascii="Arial" w:hAnsi="Arial" w:cs="Arial"/>
        </w:rPr>
      </w:pPr>
      <w:r w:rsidRPr="00085290">
        <w:rPr>
          <w:rFonts w:ascii="Arial" w:hAnsi="Arial" w:cs="Arial"/>
        </w:rPr>
        <w:t xml:space="preserve">Fourth, the </w:t>
      </w:r>
      <w:r>
        <w:rPr>
          <w:rFonts w:ascii="Arial" w:hAnsi="Arial" w:cs="Arial"/>
        </w:rPr>
        <w:t>department</w:t>
      </w:r>
      <w:r w:rsidRPr="00085290">
        <w:rPr>
          <w:rFonts w:ascii="Arial" w:hAnsi="Arial" w:cs="Arial"/>
        </w:rPr>
        <w:t>s assert that requiring public disclosure of negotiated rates will help employers that sponsor group health plans in rate negotiation.</w:t>
      </w:r>
      <w:r w:rsidRPr="00085290">
        <w:rPr>
          <w:rFonts w:ascii="Arial" w:hAnsi="Arial" w:cs="Arial"/>
          <w:vertAlign w:val="superscript"/>
        </w:rPr>
        <w:footnoteReference w:id="13"/>
      </w:r>
    </w:p>
    <w:p w:rsidR="00B16A0F" w:rsidRPr="00085290" w:rsidRDefault="00B16A0F" w:rsidP="005B40B1">
      <w:pPr>
        <w:numPr>
          <w:ilvl w:val="0"/>
          <w:numId w:val="2"/>
        </w:numPr>
        <w:spacing w:after="120"/>
        <w:rPr>
          <w:rFonts w:ascii="Arial" w:hAnsi="Arial" w:cs="Arial"/>
        </w:rPr>
      </w:pPr>
      <w:r w:rsidRPr="00085290">
        <w:rPr>
          <w:rFonts w:ascii="Arial" w:hAnsi="Arial" w:cs="Arial"/>
        </w:rPr>
        <w:t xml:space="preserve">Fifth, the </w:t>
      </w:r>
      <w:r>
        <w:rPr>
          <w:rFonts w:ascii="Arial" w:hAnsi="Arial" w:cs="Arial"/>
        </w:rPr>
        <w:t>department</w:t>
      </w:r>
      <w:r w:rsidRPr="00085290">
        <w:rPr>
          <w:rFonts w:ascii="Arial" w:hAnsi="Arial" w:cs="Arial"/>
        </w:rPr>
        <w:t>s assert that requiring public disclosure of negotiated rates will “assist health care regulators in . . . oversee[ing] health insurance issuers.”</w:t>
      </w:r>
      <w:r w:rsidRPr="00085290">
        <w:rPr>
          <w:rFonts w:ascii="Arial" w:hAnsi="Arial" w:cs="Arial"/>
          <w:vertAlign w:val="superscript"/>
        </w:rPr>
        <w:footnoteReference w:id="14"/>
      </w:r>
    </w:p>
    <w:p w:rsidR="00B16A0F" w:rsidRPr="00085290" w:rsidRDefault="00B16A0F" w:rsidP="00B16A0F">
      <w:pPr>
        <w:rPr>
          <w:rFonts w:ascii="Arial" w:hAnsi="Arial" w:cs="Arial"/>
        </w:rPr>
      </w:pPr>
    </w:p>
    <w:p w:rsidR="00B16A0F" w:rsidRDefault="00B16A0F" w:rsidP="00794FCF">
      <w:pPr>
        <w:rPr>
          <w:rFonts w:ascii="Arial" w:hAnsi="Arial" w:cs="Arial"/>
        </w:rPr>
      </w:pPr>
      <w:r>
        <w:rPr>
          <w:rFonts w:ascii="Arial" w:hAnsi="Arial" w:cs="Arial"/>
        </w:rPr>
        <w:t xml:space="preserve">None of these justifications </w:t>
      </w:r>
      <w:r w:rsidR="0012583B" w:rsidRPr="0012583B">
        <w:rPr>
          <w:rFonts w:ascii="Arial" w:hAnsi="Arial" w:cs="Arial"/>
        </w:rPr>
        <w:t>pass</w:t>
      </w:r>
      <w:r>
        <w:rPr>
          <w:rFonts w:ascii="Arial" w:hAnsi="Arial" w:cs="Arial"/>
        </w:rPr>
        <w:t xml:space="preserve"> muster under the APA and a</w:t>
      </w:r>
      <w:r w:rsidR="0012583B" w:rsidRPr="0012583B">
        <w:rPr>
          <w:rFonts w:ascii="Arial" w:hAnsi="Arial" w:cs="Arial"/>
        </w:rPr>
        <w:t>ll rely on statutorily improper considerations or are otherwise indefensible.</w:t>
      </w:r>
      <w:r>
        <w:rPr>
          <w:rFonts w:ascii="Arial" w:hAnsi="Arial" w:cs="Arial"/>
        </w:rPr>
        <w:t xml:space="preserve"> </w:t>
      </w:r>
      <w:r w:rsidR="00794FCF" w:rsidRPr="00085290">
        <w:rPr>
          <w:rFonts w:ascii="Arial" w:hAnsi="Arial" w:cs="Arial"/>
        </w:rPr>
        <w:t xml:space="preserve">Indeed, the first four justifications offered by the </w:t>
      </w:r>
      <w:r w:rsidR="00794FCF">
        <w:rPr>
          <w:rFonts w:ascii="Arial" w:hAnsi="Arial" w:cs="Arial"/>
        </w:rPr>
        <w:t>department</w:t>
      </w:r>
      <w:r w:rsidR="00794FCF" w:rsidRPr="00085290">
        <w:rPr>
          <w:rFonts w:ascii="Arial" w:hAnsi="Arial" w:cs="Arial"/>
        </w:rPr>
        <w:t>s are not even grounded in statutorily cognizable considerations.</w:t>
      </w:r>
      <w:r w:rsidR="00794FCF">
        <w:rPr>
          <w:rFonts w:ascii="Arial" w:hAnsi="Arial" w:cs="Arial"/>
        </w:rPr>
        <w:t xml:space="preserve"> </w:t>
      </w:r>
      <w:r w:rsidR="00794FCF" w:rsidRPr="00085290">
        <w:rPr>
          <w:rFonts w:ascii="Arial" w:hAnsi="Arial" w:cs="Arial"/>
        </w:rPr>
        <w:t xml:space="preserve">All four justifications are ultimately premised on the </w:t>
      </w:r>
      <w:r w:rsidR="00794FCF">
        <w:rPr>
          <w:rFonts w:ascii="Arial" w:hAnsi="Arial" w:cs="Arial"/>
        </w:rPr>
        <w:t>department</w:t>
      </w:r>
      <w:r w:rsidR="00794FCF" w:rsidRPr="00085290">
        <w:rPr>
          <w:rFonts w:ascii="Arial" w:hAnsi="Arial" w:cs="Arial"/>
        </w:rPr>
        <w:t>s’ conjecture that the proposed disclosure of pricing information will better let consumers “judge the reasonableness of provider prices and shop for care at the best price.”</w:t>
      </w:r>
      <w:r w:rsidR="00794FCF" w:rsidRPr="00085290">
        <w:rPr>
          <w:rFonts w:ascii="Arial" w:hAnsi="Arial" w:cs="Arial"/>
          <w:vertAlign w:val="superscript"/>
        </w:rPr>
        <w:footnoteReference w:id="15"/>
      </w:r>
      <w:r w:rsidR="0012583B">
        <w:rPr>
          <w:rFonts w:ascii="Arial" w:hAnsi="Arial" w:cs="Arial"/>
        </w:rPr>
        <w:t xml:space="preserve"> As discussed above, this argument relies on the flawed premise </w:t>
      </w:r>
      <w:r w:rsidR="005B40B1">
        <w:rPr>
          <w:rFonts w:ascii="Arial" w:hAnsi="Arial" w:cs="Arial"/>
        </w:rPr>
        <w:t>without a meaningful linkage</w:t>
      </w:r>
      <w:r w:rsidR="00794FCF" w:rsidRPr="00085290">
        <w:rPr>
          <w:rFonts w:ascii="Arial" w:hAnsi="Arial" w:cs="Arial"/>
        </w:rPr>
        <w:t xml:space="preserve"> to the statutory objective of “[t]ransparency </w:t>
      </w:r>
      <w:r w:rsidR="00794FCF" w:rsidRPr="00085290">
        <w:rPr>
          <w:rFonts w:ascii="Arial" w:hAnsi="Arial" w:cs="Arial"/>
          <w:i/>
        </w:rPr>
        <w:t>in</w:t>
      </w:r>
      <w:r w:rsidR="00794FCF" w:rsidRPr="00085290">
        <w:rPr>
          <w:rFonts w:ascii="Arial" w:hAnsi="Arial" w:cs="Arial"/>
        </w:rPr>
        <w:t xml:space="preserve"> </w:t>
      </w:r>
      <w:r w:rsidR="00794FCF" w:rsidRPr="00085290">
        <w:rPr>
          <w:rFonts w:ascii="Arial" w:hAnsi="Arial" w:cs="Arial"/>
          <w:i/>
        </w:rPr>
        <w:t>coverage</w:t>
      </w:r>
      <w:r w:rsidR="00794FCF" w:rsidRPr="00085290">
        <w:rPr>
          <w:rFonts w:ascii="Arial" w:hAnsi="Arial" w:cs="Arial"/>
        </w:rPr>
        <w:t>.”</w:t>
      </w:r>
      <w:r w:rsidR="00794FCF" w:rsidRPr="00085290">
        <w:rPr>
          <w:rFonts w:ascii="Arial" w:hAnsi="Arial" w:cs="Arial"/>
          <w:vertAlign w:val="superscript"/>
        </w:rPr>
        <w:footnoteReference w:id="16"/>
      </w:r>
      <w:r w:rsidR="00794FCF">
        <w:rPr>
          <w:rFonts w:ascii="Arial" w:hAnsi="Arial" w:cs="Arial"/>
        </w:rPr>
        <w:t xml:space="preserve"> </w:t>
      </w:r>
    </w:p>
    <w:p w:rsidR="00B16A0F" w:rsidRDefault="00B16A0F" w:rsidP="00794FCF">
      <w:pPr>
        <w:rPr>
          <w:rFonts w:ascii="Arial" w:hAnsi="Arial" w:cs="Arial"/>
        </w:rPr>
      </w:pPr>
    </w:p>
    <w:p w:rsidR="00351B6B" w:rsidRDefault="00B16A0F" w:rsidP="00794FCF">
      <w:pPr>
        <w:rPr>
          <w:rFonts w:ascii="Arial" w:hAnsi="Arial" w:cs="Arial"/>
        </w:rPr>
      </w:pPr>
      <w:r>
        <w:rPr>
          <w:rFonts w:ascii="Arial" w:hAnsi="Arial" w:cs="Arial"/>
        </w:rPr>
        <w:t>These</w:t>
      </w:r>
      <w:r w:rsidR="002F0A4D">
        <w:rPr>
          <w:rFonts w:ascii="Arial" w:hAnsi="Arial" w:cs="Arial"/>
        </w:rPr>
        <w:t xml:space="preserve"> first four</w:t>
      </w:r>
      <w:r>
        <w:rPr>
          <w:rFonts w:ascii="Arial" w:hAnsi="Arial" w:cs="Arial"/>
        </w:rPr>
        <w:t xml:space="preserve"> justifications</w:t>
      </w:r>
      <w:r w:rsidR="00794FCF" w:rsidRPr="00085290">
        <w:rPr>
          <w:rFonts w:ascii="Arial" w:hAnsi="Arial" w:cs="Arial"/>
        </w:rPr>
        <w:t xml:space="preserve"> are also misplaced because</w:t>
      </w:r>
      <w:r w:rsidR="00794FCF" w:rsidRPr="00B16A0F">
        <w:rPr>
          <w:rFonts w:ascii="Arial" w:hAnsi="Arial" w:cs="Arial"/>
        </w:rPr>
        <w:t xml:space="preserve"> they are not grounded in any rationale applicable to</w:t>
      </w:r>
      <w:r w:rsidRPr="00B16A0F">
        <w:rPr>
          <w:rFonts w:ascii="Arial" w:hAnsi="Arial" w:cs="Arial"/>
        </w:rPr>
        <w:t xml:space="preserve"> </w:t>
      </w:r>
      <w:r w:rsidRPr="000E3A94">
        <w:rPr>
          <w:rFonts w:ascii="Arial" w:hAnsi="Arial" w:cs="Arial"/>
          <w:i/>
        </w:rPr>
        <w:t xml:space="preserve">qualified health plans </w:t>
      </w:r>
      <w:r w:rsidRPr="00C57C35">
        <w:rPr>
          <w:rFonts w:ascii="Arial" w:hAnsi="Arial" w:cs="Arial"/>
        </w:rPr>
        <w:t>(</w:t>
      </w:r>
      <w:r w:rsidR="00794FCF" w:rsidRPr="00C57C35">
        <w:rPr>
          <w:rFonts w:ascii="Arial" w:hAnsi="Arial" w:cs="Arial"/>
        </w:rPr>
        <w:t>QHPs</w:t>
      </w:r>
      <w:r w:rsidRPr="00C57C35">
        <w:rPr>
          <w:rFonts w:ascii="Arial" w:hAnsi="Arial" w:cs="Arial"/>
        </w:rPr>
        <w:t>)</w:t>
      </w:r>
      <w:r w:rsidR="00794FCF" w:rsidRPr="003E59E9">
        <w:rPr>
          <w:rFonts w:ascii="Arial" w:hAnsi="Arial" w:cs="Arial"/>
        </w:rPr>
        <w:t xml:space="preserve">. </w:t>
      </w:r>
      <w:r w:rsidR="00794FCF" w:rsidRPr="00085290">
        <w:rPr>
          <w:rFonts w:ascii="Arial" w:hAnsi="Arial" w:cs="Arial"/>
        </w:rPr>
        <w:t>Section 1311(e)(3) of the ACA concerns transparency in coverage under health plans seeking certification as QHPs from a health insurance exchange.</w:t>
      </w:r>
      <w:r w:rsidR="00794FCF" w:rsidRPr="00085290">
        <w:rPr>
          <w:rFonts w:ascii="Arial" w:hAnsi="Arial" w:cs="Arial"/>
          <w:vertAlign w:val="superscript"/>
        </w:rPr>
        <w:footnoteReference w:id="17"/>
      </w:r>
      <w:r w:rsidR="00794FCF">
        <w:rPr>
          <w:rFonts w:ascii="Arial" w:hAnsi="Arial" w:cs="Arial"/>
        </w:rPr>
        <w:t xml:space="preserve"> </w:t>
      </w:r>
      <w:r w:rsidR="00794FCF" w:rsidRPr="00085290">
        <w:rPr>
          <w:rFonts w:ascii="Arial" w:hAnsi="Arial" w:cs="Arial"/>
        </w:rPr>
        <w:t>Thus, any disclosure requirement</w:t>
      </w:r>
      <w:r w:rsidR="00794FCF" w:rsidRPr="00B16A0F">
        <w:rPr>
          <w:rFonts w:ascii="Arial" w:hAnsi="Arial" w:cs="Arial"/>
        </w:rPr>
        <w:t xml:space="preserve"> must </w:t>
      </w:r>
      <w:r w:rsidR="005B40B1">
        <w:rPr>
          <w:rFonts w:ascii="Arial" w:hAnsi="Arial" w:cs="Arial"/>
        </w:rPr>
        <w:t xml:space="preserve">first </w:t>
      </w:r>
      <w:r w:rsidR="00794FCF" w:rsidRPr="00B16A0F">
        <w:rPr>
          <w:rFonts w:ascii="Arial" w:hAnsi="Arial" w:cs="Arial"/>
        </w:rPr>
        <w:t xml:space="preserve">find a basis in furthering transparency in coverage under QHPs. </w:t>
      </w:r>
      <w:r w:rsidR="00351B6B">
        <w:rPr>
          <w:rFonts w:ascii="Arial" w:hAnsi="Arial" w:cs="Arial"/>
        </w:rPr>
        <w:t>Accordingly</w:t>
      </w:r>
      <w:r w:rsidR="00351B6B" w:rsidRPr="00085290">
        <w:rPr>
          <w:rFonts w:ascii="Arial" w:hAnsi="Arial" w:cs="Arial"/>
        </w:rPr>
        <w:t xml:space="preserve">, the </w:t>
      </w:r>
      <w:r w:rsidR="00351B6B">
        <w:rPr>
          <w:rFonts w:ascii="Arial" w:hAnsi="Arial" w:cs="Arial"/>
        </w:rPr>
        <w:t>department</w:t>
      </w:r>
      <w:r w:rsidR="00351B6B" w:rsidRPr="00085290">
        <w:rPr>
          <w:rFonts w:ascii="Arial" w:hAnsi="Arial" w:cs="Arial"/>
        </w:rPr>
        <w:t xml:space="preserve">s may </w:t>
      </w:r>
      <w:r w:rsidR="00351B6B" w:rsidRPr="00085290">
        <w:rPr>
          <w:rFonts w:ascii="Arial" w:hAnsi="Arial" w:cs="Arial"/>
          <w:i/>
        </w:rPr>
        <w:t>not</w:t>
      </w:r>
      <w:r w:rsidR="00351B6B" w:rsidRPr="00085290">
        <w:rPr>
          <w:rFonts w:ascii="Arial" w:hAnsi="Arial" w:cs="Arial"/>
        </w:rPr>
        <w:t xml:space="preserve"> rely on their proffered rationales relating to the uninsured,</w:t>
      </w:r>
      <w:r w:rsidR="00351B6B" w:rsidRPr="00085290">
        <w:rPr>
          <w:rFonts w:ascii="Arial" w:hAnsi="Arial" w:cs="Arial"/>
          <w:vertAlign w:val="superscript"/>
        </w:rPr>
        <w:footnoteReference w:id="18"/>
      </w:r>
      <w:r w:rsidR="00351B6B" w:rsidRPr="00085290">
        <w:rPr>
          <w:rFonts w:ascii="Arial" w:hAnsi="Arial" w:cs="Arial"/>
        </w:rPr>
        <w:t xml:space="preserve"> employers that sponsor group health plans,</w:t>
      </w:r>
      <w:r w:rsidR="00351B6B" w:rsidRPr="00085290">
        <w:rPr>
          <w:rFonts w:ascii="Arial" w:hAnsi="Arial" w:cs="Arial"/>
          <w:vertAlign w:val="superscript"/>
        </w:rPr>
        <w:footnoteReference w:id="19"/>
      </w:r>
      <w:r w:rsidR="00351B6B" w:rsidRPr="00085290">
        <w:rPr>
          <w:rFonts w:ascii="Arial" w:hAnsi="Arial" w:cs="Arial"/>
        </w:rPr>
        <w:t xml:space="preserve"> consumers shopping more broadly for health insurance coverage beyond QHPs,</w:t>
      </w:r>
      <w:r w:rsidR="00351B6B" w:rsidRPr="00085290">
        <w:rPr>
          <w:rFonts w:ascii="Arial" w:hAnsi="Arial" w:cs="Arial"/>
          <w:vertAlign w:val="superscript"/>
        </w:rPr>
        <w:footnoteReference w:id="20"/>
      </w:r>
      <w:r w:rsidR="00351B6B" w:rsidRPr="00085290">
        <w:rPr>
          <w:rFonts w:ascii="Arial" w:hAnsi="Arial" w:cs="Arial"/>
        </w:rPr>
        <w:t xml:space="preserve"> or governmental health benefit programs</w:t>
      </w:r>
      <w:r w:rsidR="00351B6B" w:rsidRPr="00085290">
        <w:rPr>
          <w:rFonts w:ascii="Arial" w:hAnsi="Arial" w:cs="Arial"/>
          <w:vertAlign w:val="superscript"/>
        </w:rPr>
        <w:footnoteReference w:id="21"/>
      </w:r>
      <w:r w:rsidR="003E59E9">
        <w:rPr>
          <w:rFonts w:ascii="Arial" w:hAnsi="Arial" w:cs="Arial"/>
        </w:rPr>
        <w:t xml:space="preserve"> </w:t>
      </w:r>
      <w:r w:rsidR="003E59E9" w:rsidRPr="00497D35">
        <w:rPr>
          <w:rFonts w:ascii="Arial" w:hAnsi="Arial" w:cs="Arial"/>
        </w:rPr>
        <w:t xml:space="preserve">– </w:t>
      </w:r>
      <w:r w:rsidR="00351B6B" w:rsidRPr="00085290">
        <w:rPr>
          <w:rFonts w:ascii="Arial" w:hAnsi="Arial" w:cs="Arial"/>
        </w:rPr>
        <w:t xml:space="preserve">or vague and speculative pronouncements about alleged benefit to the health care system generally </w:t>
      </w:r>
      <w:r w:rsidR="003E59E9" w:rsidRPr="00497D35">
        <w:rPr>
          <w:rFonts w:ascii="Arial" w:hAnsi="Arial" w:cs="Arial"/>
        </w:rPr>
        <w:t xml:space="preserve">– </w:t>
      </w:r>
      <w:r w:rsidR="00351B6B" w:rsidRPr="00085290">
        <w:rPr>
          <w:rFonts w:ascii="Arial" w:hAnsi="Arial" w:cs="Arial"/>
        </w:rPr>
        <w:t>to justify their proposal.</w:t>
      </w:r>
      <w:r w:rsidR="00351B6B" w:rsidRPr="00085290">
        <w:rPr>
          <w:rFonts w:ascii="Arial" w:hAnsi="Arial" w:cs="Arial"/>
          <w:vertAlign w:val="superscript"/>
        </w:rPr>
        <w:footnoteReference w:id="22"/>
      </w:r>
    </w:p>
    <w:p w:rsidR="00351B6B" w:rsidRDefault="00351B6B" w:rsidP="00794FCF">
      <w:pPr>
        <w:rPr>
          <w:rFonts w:ascii="Arial" w:hAnsi="Arial" w:cs="Arial"/>
        </w:rPr>
      </w:pPr>
    </w:p>
    <w:p w:rsidR="00B16A0F" w:rsidRDefault="00B16A0F" w:rsidP="00794FCF">
      <w:pPr>
        <w:rPr>
          <w:rFonts w:ascii="Arial" w:hAnsi="Arial" w:cs="Arial"/>
        </w:rPr>
      </w:pPr>
      <w:r>
        <w:rPr>
          <w:rFonts w:ascii="Arial" w:hAnsi="Arial" w:cs="Arial"/>
        </w:rPr>
        <w:t xml:space="preserve">Finally, </w:t>
      </w:r>
      <w:r w:rsidR="00794FCF" w:rsidRPr="00085290">
        <w:rPr>
          <w:rFonts w:ascii="Arial" w:hAnsi="Arial" w:cs="Arial"/>
        </w:rPr>
        <w:t xml:space="preserve">the </w:t>
      </w:r>
      <w:r w:rsidR="00794FCF">
        <w:rPr>
          <w:rFonts w:ascii="Arial" w:hAnsi="Arial" w:cs="Arial"/>
        </w:rPr>
        <w:t>department</w:t>
      </w:r>
      <w:r w:rsidR="00794FCF" w:rsidRPr="00085290">
        <w:rPr>
          <w:rFonts w:ascii="Arial" w:hAnsi="Arial" w:cs="Arial"/>
        </w:rPr>
        <w:t xml:space="preserve">s cannot rationally conclude that </w:t>
      </w:r>
      <w:r w:rsidR="00351B6B">
        <w:rPr>
          <w:rFonts w:ascii="Arial" w:hAnsi="Arial" w:cs="Arial"/>
        </w:rPr>
        <w:t xml:space="preserve">their </w:t>
      </w:r>
      <w:r w:rsidR="00794FCF" w:rsidRPr="00085290">
        <w:rPr>
          <w:rFonts w:ascii="Arial" w:hAnsi="Arial" w:cs="Arial"/>
        </w:rPr>
        <w:t>proposal will benefit health care consumers.</w:t>
      </w:r>
      <w:r w:rsidR="00794FCF">
        <w:rPr>
          <w:rFonts w:ascii="Arial" w:hAnsi="Arial" w:cs="Arial"/>
        </w:rPr>
        <w:t xml:space="preserve"> </w:t>
      </w:r>
      <w:r w:rsidR="00794FCF" w:rsidRPr="00085290">
        <w:rPr>
          <w:rFonts w:ascii="Arial" w:hAnsi="Arial" w:cs="Arial"/>
        </w:rPr>
        <w:t xml:space="preserve">If anything, requiring disclosure of negotiated rates information is likely </w:t>
      </w:r>
      <w:r w:rsidR="00794FCF" w:rsidRPr="00085290">
        <w:rPr>
          <w:rFonts w:ascii="Arial" w:hAnsi="Arial" w:cs="Arial"/>
        </w:rPr>
        <w:lastRenderedPageBreak/>
        <w:t xml:space="preserve">to </w:t>
      </w:r>
      <w:r w:rsidR="00794FCF" w:rsidRPr="00085290">
        <w:rPr>
          <w:rFonts w:ascii="Arial" w:hAnsi="Arial" w:cs="Arial"/>
          <w:i/>
        </w:rPr>
        <w:t>compound</w:t>
      </w:r>
      <w:r w:rsidR="00794FCF" w:rsidRPr="00085290">
        <w:rPr>
          <w:rFonts w:ascii="Arial" w:hAnsi="Arial" w:cs="Arial"/>
        </w:rPr>
        <w:t xml:space="preserve"> confusion among consumers rather than promote more informed decision-making.</w:t>
      </w:r>
      <w:r w:rsidR="00794FCF">
        <w:rPr>
          <w:rFonts w:ascii="Arial" w:hAnsi="Arial" w:cs="Arial"/>
        </w:rPr>
        <w:t xml:space="preserve"> </w:t>
      </w:r>
    </w:p>
    <w:p w:rsidR="00B16A0F" w:rsidRDefault="00B16A0F" w:rsidP="00794FCF">
      <w:pPr>
        <w:rPr>
          <w:rFonts w:ascii="Arial" w:hAnsi="Arial" w:cs="Arial"/>
        </w:rPr>
      </w:pPr>
    </w:p>
    <w:p w:rsidR="00794FCF" w:rsidRPr="00085290" w:rsidRDefault="00794FCF" w:rsidP="00B16A0F">
      <w:pPr>
        <w:rPr>
          <w:rFonts w:ascii="Arial" w:hAnsi="Arial" w:cs="Arial"/>
        </w:rPr>
      </w:pPr>
      <w:r w:rsidRPr="00085290">
        <w:rPr>
          <w:rFonts w:ascii="Arial" w:hAnsi="Arial" w:cs="Arial"/>
        </w:rPr>
        <w:t xml:space="preserve">The </w:t>
      </w:r>
      <w:r>
        <w:rPr>
          <w:rFonts w:ascii="Arial" w:hAnsi="Arial" w:cs="Arial"/>
        </w:rPr>
        <w:t>department</w:t>
      </w:r>
      <w:r w:rsidRPr="00085290">
        <w:rPr>
          <w:rFonts w:ascii="Arial" w:hAnsi="Arial" w:cs="Arial"/>
        </w:rPr>
        <w:t>s’ fifth pro</w:t>
      </w:r>
      <w:r w:rsidR="002F0A4D">
        <w:rPr>
          <w:rFonts w:ascii="Arial" w:hAnsi="Arial" w:cs="Arial"/>
        </w:rPr>
        <w:t xml:space="preserve">ffered rationale </w:t>
      </w:r>
      <w:r w:rsidRPr="00085290">
        <w:rPr>
          <w:rFonts w:ascii="Arial" w:hAnsi="Arial" w:cs="Arial"/>
        </w:rPr>
        <w:t>is invalid</w:t>
      </w:r>
      <w:r w:rsidR="005B40B1">
        <w:rPr>
          <w:rFonts w:ascii="Arial" w:hAnsi="Arial" w:cs="Arial"/>
        </w:rPr>
        <w:t xml:space="preserve"> as well</w:t>
      </w:r>
      <w:r w:rsidRPr="00085290">
        <w:rPr>
          <w:rFonts w:ascii="Arial" w:hAnsi="Arial" w:cs="Arial"/>
        </w:rPr>
        <w:t>.</w:t>
      </w:r>
      <w:r>
        <w:rPr>
          <w:rFonts w:ascii="Arial" w:hAnsi="Arial" w:cs="Arial"/>
        </w:rPr>
        <w:t xml:space="preserve"> </w:t>
      </w:r>
      <w:r w:rsidRPr="00085290">
        <w:rPr>
          <w:rFonts w:ascii="Arial" w:hAnsi="Arial" w:cs="Arial"/>
        </w:rPr>
        <w:t xml:space="preserve">The </w:t>
      </w:r>
      <w:r>
        <w:rPr>
          <w:rFonts w:ascii="Arial" w:hAnsi="Arial" w:cs="Arial"/>
        </w:rPr>
        <w:t>department</w:t>
      </w:r>
      <w:r w:rsidRPr="00085290">
        <w:rPr>
          <w:rFonts w:ascii="Arial" w:hAnsi="Arial" w:cs="Arial"/>
        </w:rPr>
        <w:t xml:space="preserve">s cannot justify </w:t>
      </w:r>
      <w:r w:rsidRPr="00085290">
        <w:rPr>
          <w:rFonts w:ascii="Arial" w:hAnsi="Arial" w:cs="Arial"/>
          <w:i/>
        </w:rPr>
        <w:t>public</w:t>
      </w:r>
      <w:r w:rsidRPr="00085290">
        <w:rPr>
          <w:rFonts w:ascii="Arial" w:hAnsi="Arial" w:cs="Arial"/>
        </w:rPr>
        <w:t xml:space="preserve"> disclosure of highly sensitive and confidential pricing information on the grounds that state insurance regulators might find such information helpful</w:t>
      </w:r>
      <w:r w:rsidR="005B40B1">
        <w:rPr>
          <w:rFonts w:ascii="Arial" w:hAnsi="Arial" w:cs="Arial"/>
        </w:rPr>
        <w:t xml:space="preserve">. To begin with, </w:t>
      </w:r>
      <w:r w:rsidR="00351B6B">
        <w:rPr>
          <w:rFonts w:ascii="Arial" w:hAnsi="Arial" w:cs="Arial"/>
        </w:rPr>
        <w:t xml:space="preserve">as the departments </w:t>
      </w:r>
      <w:r w:rsidR="00E765E0">
        <w:rPr>
          <w:rFonts w:ascii="Arial" w:hAnsi="Arial" w:cs="Arial"/>
        </w:rPr>
        <w:t xml:space="preserve">have </w:t>
      </w:r>
      <w:r w:rsidR="00351B6B">
        <w:rPr>
          <w:rFonts w:ascii="Arial" w:hAnsi="Arial" w:cs="Arial"/>
        </w:rPr>
        <w:t>conceded,</w:t>
      </w:r>
      <w:r w:rsidR="00E765E0">
        <w:rPr>
          <w:rStyle w:val="FootnoteReference"/>
          <w:rFonts w:ascii="Arial" w:hAnsi="Arial" w:cs="Arial"/>
        </w:rPr>
        <w:footnoteReference w:id="23"/>
      </w:r>
      <w:r w:rsidR="00351B6B">
        <w:rPr>
          <w:rFonts w:ascii="Arial" w:hAnsi="Arial" w:cs="Arial"/>
        </w:rPr>
        <w:t xml:space="preserve"> </w:t>
      </w:r>
      <w:r w:rsidR="00B16A0F">
        <w:rPr>
          <w:rFonts w:ascii="Arial" w:hAnsi="Arial" w:cs="Arial"/>
        </w:rPr>
        <w:t>state regulators already have access to this information</w:t>
      </w:r>
      <w:r w:rsidRPr="00085290">
        <w:rPr>
          <w:rFonts w:ascii="Arial" w:hAnsi="Arial" w:cs="Arial"/>
        </w:rPr>
        <w:t>.</w:t>
      </w:r>
      <w:r w:rsidR="00B16A0F">
        <w:rPr>
          <w:rFonts w:ascii="Arial" w:hAnsi="Arial" w:cs="Arial"/>
        </w:rPr>
        <w:t xml:space="preserve"> Furthermore, to the extent that the departments were interested in providing such information to state regulators, they could invoke alternative authorities</w:t>
      </w:r>
      <w:r w:rsidR="001D2772">
        <w:rPr>
          <w:rFonts w:ascii="Arial" w:hAnsi="Arial" w:cs="Arial"/>
        </w:rPr>
        <w:t>, such as sections 1322(c)(1) and 1321(a)(1) of the ACA,</w:t>
      </w:r>
      <w:r w:rsidR="00B16A0F">
        <w:rPr>
          <w:rFonts w:ascii="Arial" w:hAnsi="Arial" w:cs="Arial"/>
        </w:rPr>
        <w:t xml:space="preserve"> to do so that would avoid public disclosure. </w:t>
      </w:r>
      <w:r w:rsidR="00F91DD7">
        <w:rPr>
          <w:rFonts w:ascii="Arial" w:hAnsi="Arial" w:cs="Arial"/>
        </w:rPr>
        <w:t xml:space="preserve">Finally, even under section 1311(e)(3) of the ACA, “[t]he Exchanges shall . . . </w:t>
      </w:r>
      <w:r w:rsidR="00F91DD7" w:rsidRPr="00085290">
        <w:rPr>
          <w:rFonts w:ascii="Arial" w:hAnsi="Arial" w:cs="Arial"/>
        </w:rPr>
        <w:t>make available to the public</w:t>
      </w:r>
      <w:r w:rsidR="003E59E9">
        <w:rPr>
          <w:rFonts w:ascii="Arial" w:hAnsi="Arial" w:cs="Arial"/>
        </w:rPr>
        <w:t>…</w:t>
      </w:r>
      <w:r w:rsidR="00F91DD7" w:rsidRPr="00085290">
        <w:rPr>
          <w:rFonts w:ascii="Arial" w:hAnsi="Arial" w:cs="Arial"/>
        </w:rPr>
        <w:t>other</w:t>
      </w:r>
      <w:r w:rsidR="003E59E9">
        <w:rPr>
          <w:rFonts w:ascii="Arial" w:hAnsi="Arial" w:cs="Arial"/>
        </w:rPr>
        <w:t xml:space="preserve"> </w:t>
      </w:r>
      <w:r w:rsidR="00F91DD7" w:rsidRPr="00085290">
        <w:rPr>
          <w:rFonts w:ascii="Arial" w:hAnsi="Arial" w:cs="Arial"/>
        </w:rPr>
        <w:t>information</w:t>
      </w:r>
      <w:r w:rsidR="00F91DD7">
        <w:rPr>
          <w:rFonts w:ascii="Arial" w:hAnsi="Arial" w:cs="Arial"/>
        </w:rPr>
        <w:t xml:space="preserve">” </w:t>
      </w:r>
      <w:r w:rsidR="00F91DD7" w:rsidRPr="00036E5A">
        <w:rPr>
          <w:rFonts w:ascii="Arial" w:hAnsi="Arial" w:cs="Arial"/>
        </w:rPr>
        <w:t>only</w:t>
      </w:r>
      <w:r w:rsidR="00F91DD7" w:rsidRPr="00085290">
        <w:rPr>
          <w:rFonts w:ascii="Arial" w:hAnsi="Arial" w:cs="Arial"/>
        </w:rPr>
        <w:t xml:space="preserve"> </w:t>
      </w:r>
      <w:r w:rsidR="00F91DD7">
        <w:rPr>
          <w:rFonts w:ascii="Arial" w:hAnsi="Arial" w:cs="Arial"/>
        </w:rPr>
        <w:t>“</w:t>
      </w:r>
      <w:r w:rsidR="00F91DD7" w:rsidRPr="00085290">
        <w:rPr>
          <w:rFonts w:ascii="Arial" w:hAnsi="Arial" w:cs="Arial"/>
          <w:i/>
        </w:rPr>
        <w:t>as</w:t>
      </w:r>
      <w:r w:rsidR="00F91DD7" w:rsidRPr="00085290">
        <w:rPr>
          <w:rFonts w:ascii="Arial" w:hAnsi="Arial" w:cs="Arial"/>
        </w:rPr>
        <w:t xml:space="preserve"> </w:t>
      </w:r>
      <w:r w:rsidR="00F91DD7" w:rsidRPr="00085290">
        <w:rPr>
          <w:rFonts w:ascii="Arial" w:hAnsi="Arial" w:cs="Arial"/>
          <w:i/>
        </w:rPr>
        <w:t>determined appropriate</w:t>
      </w:r>
      <w:r w:rsidR="00F91DD7" w:rsidRPr="00085290">
        <w:rPr>
          <w:rFonts w:ascii="Arial" w:hAnsi="Arial" w:cs="Arial"/>
        </w:rPr>
        <w:t xml:space="preserve"> by the Secretary.”</w:t>
      </w:r>
      <w:r w:rsidR="00F91DD7" w:rsidRPr="00085290">
        <w:rPr>
          <w:rFonts w:ascii="Arial" w:hAnsi="Arial" w:cs="Arial"/>
          <w:vertAlign w:val="superscript"/>
        </w:rPr>
        <w:footnoteReference w:id="24"/>
      </w:r>
      <w:r w:rsidR="00F91DD7">
        <w:rPr>
          <w:rFonts w:ascii="Arial" w:hAnsi="Arial" w:cs="Arial"/>
        </w:rPr>
        <w:t xml:space="preserve"> Here, the Secretary has </w:t>
      </w:r>
      <w:r w:rsidR="00036E5A">
        <w:rPr>
          <w:rFonts w:ascii="Arial" w:hAnsi="Arial" w:cs="Arial"/>
        </w:rPr>
        <w:t xml:space="preserve">properly </w:t>
      </w:r>
      <w:r w:rsidR="00F91DD7">
        <w:rPr>
          <w:rFonts w:ascii="Arial" w:hAnsi="Arial" w:cs="Arial"/>
        </w:rPr>
        <w:t>determined that the “other information” at issue</w:t>
      </w:r>
      <w:r w:rsidR="00036E5A">
        <w:rPr>
          <w:rFonts w:ascii="Arial" w:hAnsi="Arial" w:cs="Arial"/>
        </w:rPr>
        <w:t xml:space="preserve"> (i.e., the negotiated rates information) is “appropriate” to be made available </w:t>
      </w:r>
      <w:r w:rsidR="00036E5A" w:rsidRPr="000E3A94">
        <w:rPr>
          <w:rFonts w:ascii="Arial" w:hAnsi="Arial" w:cs="Arial"/>
          <w:i/>
        </w:rPr>
        <w:t>only</w:t>
      </w:r>
      <w:r w:rsidR="00036E5A">
        <w:rPr>
          <w:rFonts w:ascii="Arial" w:hAnsi="Arial" w:cs="Arial"/>
        </w:rPr>
        <w:t xml:space="preserve"> to state regulators</w:t>
      </w:r>
      <w:r w:rsidR="00F91DD7">
        <w:rPr>
          <w:rFonts w:ascii="Arial" w:hAnsi="Arial" w:cs="Arial"/>
        </w:rPr>
        <w:t>.</w:t>
      </w:r>
    </w:p>
    <w:p w:rsidR="00794FCF" w:rsidRPr="002F0A4D" w:rsidRDefault="00794FCF" w:rsidP="00794FCF">
      <w:pPr>
        <w:rPr>
          <w:rFonts w:ascii="Arial" w:hAnsi="Arial" w:cs="Arial"/>
          <w:i/>
        </w:rPr>
      </w:pPr>
    </w:p>
    <w:p w:rsidR="00F86304" w:rsidRPr="002F0A4D" w:rsidRDefault="005B40B1" w:rsidP="002F0A4D">
      <w:pPr>
        <w:rPr>
          <w:rFonts w:ascii="Arial" w:hAnsi="Arial" w:cs="Arial"/>
        </w:rPr>
      </w:pPr>
      <w:r>
        <w:rPr>
          <w:rFonts w:ascii="Arial" w:hAnsi="Arial" w:cs="Arial"/>
          <w:b/>
          <w:i/>
        </w:rPr>
        <w:t xml:space="preserve">First Amendment Violation. </w:t>
      </w:r>
      <w:r w:rsidR="00794FCF" w:rsidRPr="00085290">
        <w:rPr>
          <w:rFonts w:ascii="Arial" w:hAnsi="Arial" w:cs="Arial"/>
        </w:rPr>
        <w:t xml:space="preserve">The </w:t>
      </w:r>
      <w:r w:rsidR="00794FCF">
        <w:rPr>
          <w:rFonts w:ascii="Arial" w:hAnsi="Arial" w:cs="Arial"/>
        </w:rPr>
        <w:t>department</w:t>
      </w:r>
      <w:r w:rsidR="00794FCF" w:rsidRPr="00085290">
        <w:rPr>
          <w:rFonts w:ascii="Arial" w:hAnsi="Arial" w:cs="Arial"/>
        </w:rPr>
        <w:t>s’ proposal to mandate the disclosure of highly confidential and commercial sensitive negotiate rate information also constitutes compelled speech in violation of the First Amendment to the United States Constitution.</w:t>
      </w:r>
      <w:r w:rsidR="00794FCF">
        <w:rPr>
          <w:rFonts w:ascii="Arial" w:hAnsi="Arial" w:cs="Arial"/>
        </w:rPr>
        <w:t xml:space="preserve"> </w:t>
      </w:r>
      <w:r w:rsidR="00794FCF" w:rsidRPr="00085290">
        <w:rPr>
          <w:rFonts w:ascii="Arial" w:hAnsi="Arial" w:cs="Arial"/>
        </w:rPr>
        <w:t>Government regulation of non-misleading commercial speech is unlawful unless it “directly advances” a “substantial” governmental interest, and is no “more extensive than is necessary to serve that interest.”</w:t>
      </w:r>
      <w:r w:rsidR="00794FCF" w:rsidRPr="00085290">
        <w:rPr>
          <w:rFonts w:ascii="Arial" w:hAnsi="Arial" w:cs="Arial"/>
          <w:vertAlign w:val="superscript"/>
        </w:rPr>
        <w:footnoteReference w:id="25"/>
      </w:r>
      <w:r w:rsidR="00794FCF">
        <w:rPr>
          <w:rFonts w:ascii="Arial" w:hAnsi="Arial" w:cs="Arial"/>
        </w:rPr>
        <w:t xml:space="preserve"> </w:t>
      </w:r>
      <w:r w:rsidR="00794FCF" w:rsidRPr="00085290">
        <w:rPr>
          <w:rFonts w:ascii="Arial" w:hAnsi="Arial" w:cs="Arial"/>
        </w:rPr>
        <w:t xml:space="preserve">Here, the </w:t>
      </w:r>
      <w:r w:rsidR="00794FCF">
        <w:rPr>
          <w:rFonts w:ascii="Arial" w:hAnsi="Arial" w:cs="Arial"/>
        </w:rPr>
        <w:t>department</w:t>
      </w:r>
      <w:r w:rsidR="00794FCF" w:rsidRPr="00085290">
        <w:rPr>
          <w:rFonts w:ascii="Arial" w:hAnsi="Arial" w:cs="Arial"/>
        </w:rPr>
        <w:t>s’ proposal to mandate public disclosure of negotiated rates does not advance any substantial governmental interest, much less in a narrowly tailored way.</w:t>
      </w:r>
      <w:r w:rsidR="00794FCF">
        <w:rPr>
          <w:rFonts w:ascii="Arial" w:hAnsi="Arial" w:cs="Arial"/>
        </w:rPr>
        <w:t xml:space="preserve"> </w:t>
      </w:r>
    </w:p>
    <w:sectPr w:rsidR="00F86304" w:rsidRPr="002F0A4D" w:rsidSect="000501F5">
      <w:footerReference w:type="even" r:id="rId11"/>
      <w:footerReference w:type="default" r:id="rId12"/>
      <w:footerReference w:type="first" r:id="rId13"/>
      <w:pgSz w:w="12240" w:h="15840"/>
      <w:pgMar w:top="1440" w:right="1440" w:bottom="907" w:left="1440" w:header="576"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EBC" w:rsidRDefault="00FD6EBC" w:rsidP="00E63038">
      <w:r>
        <w:separator/>
      </w:r>
    </w:p>
  </w:endnote>
  <w:endnote w:type="continuationSeparator" w:id="0">
    <w:p w:rsidR="00FD6EBC" w:rsidRDefault="00FD6EBC" w:rsidP="00E6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31F" w:rsidRDefault="0025131F" w:rsidP="000501F5">
    <w:pPr>
      <w:pStyle w:val="FooterInfo"/>
    </w:pPr>
    <w:r>
      <w:fldChar w:fldCharType="begin"/>
    </w:r>
    <w:r w:rsidRPr="000501F5">
      <w:rPr>
        <w:sz w:val="12"/>
      </w:rPr>
      <w:instrText xml:space="preserve"> MACROBUTTON DocID \\DC - 068975/000003 - 14674878 v1 </w:instrText>
    </w:r>
    <w:r>
      <w:fldChar w:fldCharType="end"/>
    </w:r>
    <w:r w:rsidRPr="000501F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33" w:rsidRDefault="00694133">
    <w:pPr>
      <w:pStyle w:val="Footer"/>
      <w:jc w:val="center"/>
      <w:rPr>
        <w:rFonts w:ascii="Arial" w:hAnsi="Arial" w:cs="Arial"/>
        <w:sz w:val="22"/>
      </w:rPr>
    </w:pPr>
  </w:p>
  <w:p w:rsidR="00694133" w:rsidRDefault="00FD6EBC" w:rsidP="00694133">
    <w:pPr>
      <w:pStyle w:val="Footer"/>
      <w:jc w:val="center"/>
      <w:rPr>
        <w:rFonts w:ascii="Arial" w:hAnsi="Arial" w:cs="Arial"/>
        <w:sz w:val="22"/>
      </w:rPr>
    </w:pPr>
    <w:sdt>
      <w:sdtPr>
        <w:rPr>
          <w:rFonts w:ascii="Arial" w:hAnsi="Arial" w:cs="Arial"/>
          <w:sz w:val="22"/>
        </w:rPr>
        <w:id w:val="418830168"/>
        <w:docPartObj>
          <w:docPartGallery w:val="Page Numbers (Bottom of Page)"/>
          <w:docPartUnique/>
        </w:docPartObj>
      </w:sdtPr>
      <w:sdtEndPr/>
      <w:sdtContent>
        <w:sdt>
          <w:sdtPr>
            <w:rPr>
              <w:rFonts w:ascii="Arial" w:hAnsi="Arial" w:cs="Arial"/>
              <w:sz w:val="22"/>
            </w:rPr>
            <w:id w:val="1728636285"/>
            <w:docPartObj>
              <w:docPartGallery w:val="Page Numbers (Top of Page)"/>
              <w:docPartUnique/>
            </w:docPartObj>
          </w:sdtPr>
          <w:sdtEndPr/>
          <w:sdtContent>
            <w:r w:rsidR="00694133" w:rsidRPr="00CF2FC7">
              <w:rPr>
                <w:rFonts w:ascii="Arial" w:hAnsi="Arial" w:cs="Arial"/>
                <w:sz w:val="22"/>
              </w:rPr>
              <w:t xml:space="preserve">Page </w:t>
            </w:r>
            <w:r w:rsidR="00694133" w:rsidRPr="00CF2FC7">
              <w:rPr>
                <w:rFonts w:ascii="Arial" w:hAnsi="Arial" w:cs="Arial"/>
                <w:bCs/>
                <w:sz w:val="22"/>
              </w:rPr>
              <w:fldChar w:fldCharType="begin"/>
            </w:r>
            <w:r w:rsidR="00694133" w:rsidRPr="00CF2FC7">
              <w:rPr>
                <w:rFonts w:ascii="Arial" w:hAnsi="Arial" w:cs="Arial"/>
                <w:bCs/>
                <w:sz w:val="22"/>
              </w:rPr>
              <w:instrText xml:space="preserve"> PAGE </w:instrText>
            </w:r>
            <w:r w:rsidR="00694133" w:rsidRPr="00CF2FC7">
              <w:rPr>
                <w:rFonts w:ascii="Arial" w:hAnsi="Arial" w:cs="Arial"/>
                <w:bCs/>
                <w:sz w:val="22"/>
              </w:rPr>
              <w:fldChar w:fldCharType="separate"/>
            </w:r>
            <w:r w:rsidR="00CF2FC7">
              <w:rPr>
                <w:rFonts w:ascii="Arial" w:hAnsi="Arial" w:cs="Arial"/>
                <w:bCs/>
                <w:noProof/>
                <w:sz w:val="22"/>
              </w:rPr>
              <w:t>2</w:t>
            </w:r>
            <w:r w:rsidR="00694133" w:rsidRPr="00CF2FC7">
              <w:rPr>
                <w:rFonts w:ascii="Arial" w:hAnsi="Arial" w:cs="Arial"/>
                <w:bCs/>
                <w:sz w:val="22"/>
              </w:rPr>
              <w:fldChar w:fldCharType="end"/>
            </w:r>
            <w:r w:rsidR="00694133" w:rsidRPr="00CF2FC7">
              <w:rPr>
                <w:rFonts w:ascii="Arial" w:hAnsi="Arial" w:cs="Arial"/>
                <w:sz w:val="22"/>
              </w:rPr>
              <w:t xml:space="preserve"> of </w:t>
            </w:r>
            <w:r w:rsidR="00694133" w:rsidRPr="00CF2FC7">
              <w:rPr>
                <w:rFonts w:ascii="Arial" w:hAnsi="Arial" w:cs="Arial"/>
                <w:bCs/>
                <w:sz w:val="22"/>
              </w:rPr>
              <w:fldChar w:fldCharType="begin"/>
            </w:r>
            <w:r w:rsidR="00694133" w:rsidRPr="00CF2FC7">
              <w:rPr>
                <w:rFonts w:ascii="Arial" w:hAnsi="Arial" w:cs="Arial"/>
                <w:bCs/>
                <w:sz w:val="22"/>
              </w:rPr>
              <w:instrText xml:space="preserve"> NUMPAGES  </w:instrText>
            </w:r>
            <w:r w:rsidR="00694133" w:rsidRPr="00CF2FC7">
              <w:rPr>
                <w:rFonts w:ascii="Arial" w:hAnsi="Arial" w:cs="Arial"/>
                <w:bCs/>
                <w:sz w:val="22"/>
              </w:rPr>
              <w:fldChar w:fldCharType="separate"/>
            </w:r>
            <w:r w:rsidR="00CF2FC7">
              <w:rPr>
                <w:rFonts w:ascii="Arial" w:hAnsi="Arial" w:cs="Arial"/>
                <w:bCs/>
                <w:noProof/>
                <w:sz w:val="22"/>
              </w:rPr>
              <w:t>5</w:t>
            </w:r>
            <w:r w:rsidR="00694133" w:rsidRPr="00CF2FC7">
              <w:rPr>
                <w:rFonts w:ascii="Arial" w:hAnsi="Arial" w:cs="Arial"/>
                <w:bCs/>
                <w:sz w:val="22"/>
              </w:rPr>
              <w:fldChar w:fldCharType="end"/>
            </w:r>
          </w:sdtContent>
        </w:sdt>
      </w:sdtContent>
    </w:sdt>
  </w:p>
  <w:p w:rsidR="00694133" w:rsidRPr="00694133" w:rsidRDefault="00694133" w:rsidP="00694133">
    <w:pPr>
      <w:pStyle w:val="Footer"/>
      <w:jc w:val="center"/>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31F" w:rsidRDefault="0025131F" w:rsidP="000501F5">
    <w:pPr>
      <w:pStyle w:val="FooterInfo"/>
    </w:pPr>
    <w:r>
      <w:fldChar w:fldCharType="begin"/>
    </w:r>
    <w:r w:rsidRPr="000501F5">
      <w:rPr>
        <w:sz w:val="12"/>
      </w:rPr>
      <w:instrText xml:space="preserve"> MACROBUTTON DocID \\DC - 068975/000003 - 14674878 v1 </w:instrText>
    </w:r>
    <w:r>
      <w:fldChar w:fldCharType="end"/>
    </w:r>
    <w:r w:rsidRPr="000501F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EBC" w:rsidRDefault="00FD6EBC" w:rsidP="00E63038">
      <w:r>
        <w:separator/>
      </w:r>
    </w:p>
  </w:footnote>
  <w:footnote w:type="continuationSeparator" w:id="0">
    <w:p w:rsidR="00FD6EBC" w:rsidRDefault="00FD6EBC" w:rsidP="00E63038">
      <w:r>
        <w:continuationSeparator/>
      </w:r>
    </w:p>
  </w:footnote>
  <w:footnote w:id="1">
    <w:p w:rsidR="00794FCF" w:rsidRPr="005B40B1" w:rsidRDefault="00794FCF" w:rsidP="00794FC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t xml:space="preserve">A separate statutory provision at section 2715A of the </w:t>
      </w:r>
      <w:r w:rsidR="00613849">
        <w:rPr>
          <w:rFonts w:ascii="Arial" w:hAnsi="Arial" w:cs="Arial"/>
          <w:sz w:val="18"/>
          <w:szCs w:val="22"/>
        </w:rPr>
        <w:t>Public Health Service Act (</w:t>
      </w:r>
      <w:r w:rsidRPr="005B40B1">
        <w:rPr>
          <w:rFonts w:ascii="Arial" w:hAnsi="Arial" w:cs="Arial"/>
          <w:sz w:val="18"/>
          <w:szCs w:val="22"/>
        </w:rPr>
        <w:t>PHSA</w:t>
      </w:r>
      <w:r w:rsidR="00613849">
        <w:rPr>
          <w:rFonts w:ascii="Arial" w:hAnsi="Arial" w:cs="Arial"/>
          <w:sz w:val="18"/>
          <w:szCs w:val="22"/>
        </w:rPr>
        <w:t>)</w:t>
      </w:r>
      <w:r w:rsidRPr="005B40B1">
        <w:rPr>
          <w:rFonts w:ascii="Arial" w:hAnsi="Arial" w:cs="Arial"/>
          <w:sz w:val="18"/>
          <w:szCs w:val="22"/>
        </w:rPr>
        <w:t xml:space="preserve"> provides that all other non-grandfathered health plans must also “comply with the provisions of section 1311(e)(3) . . . except that a plan or coverage that is not offered through an Exchange shall only be required to submit the information required to the Secretary and the State insurance commissioner, and make such information available to the public.” PHSA § 2715A (codified at 42 U.S.C. § 300gg-15a). As discussed below, this provision does </w:t>
      </w:r>
      <w:r w:rsidRPr="005B40B1">
        <w:rPr>
          <w:rFonts w:ascii="Arial" w:hAnsi="Arial" w:cs="Arial"/>
          <w:i/>
          <w:sz w:val="18"/>
          <w:szCs w:val="22"/>
        </w:rPr>
        <w:t>not</w:t>
      </w:r>
      <w:r w:rsidRPr="005B40B1">
        <w:rPr>
          <w:rFonts w:ascii="Arial" w:hAnsi="Arial" w:cs="Arial"/>
          <w:sz w:val="18"/>
          <w:szCs w:val="22"/>
        </w:rPr>
        <w:t xml:space="preserve"> expand the scope of the disclosures that may be required under section 1311(e)(3).</w:t>
      </w:r>
    </w:p>
  </w:footnote>
  <w:footnote w:id="2">
    <w:p w:rsidR="00794FCF" w:rsidRPr="005B40B1" w:rsidRDefault="00794FCF" w:rsidP="00794FC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t>Section 1311(e) of the ACA is codified at 42 U.S.C. § 18031(e)(3).</w:t>
      </w:r>
    </w:p>
  </w:footnote>
  <w:footnote w:id="3">
    <w:p w:rsidR="00794FCF" w:rsidRPr="005B40B1" w:rsidRDefault="00794FCF" w:rsidP="00794FC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t>42 U.S.C. § 18031(e)(3)(ix).</w:t>
      </w:r>
    </w:p>
  </w:footnote>
  <w:footnote w:id="4">
    <w:p w:rsidR="00794FCF" w:rsidRPr="005B40B1" w:rsidRDefault="00794FCF" w:rsidP="00794FCF">
      <w:pPr>
        <w:pStyle w:val="FootnoteText"/>
        <w:rPr>
          <w:rFonts w:ascii="Times New Roman" w:hAnsi="Times New Roman"/>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t>84 Fed</w:t>
      </w:r>
      <w:r w:rsidR="00613849">
        <w:rPr>
          <w:rFonts w:ascii="Arial" w:hAnsi="Arial" w:cs="Arial"/>
          <w:sz w:val="18"/>
          <w:szCs w:val="22"/>
        </w:rPr>
        <w:t>.</w:t>
      </w:r>
      <w:r w:rsidRPr="005B40B1">
        <w:rPr>
          <w:rFonts w:ascii="Arial" w:hAnsi="Arial" w:cs="Arial"/>
          <w:sz w:val="18"/>
          <w:szCs w:val="22"/>
        </w:rPr>
        <w:t xml:space="preserve"> Reg. </w:t>
      </w:r>
      <w:r w:rsidR="00613849">
        <w:rPr>
          <w:rFonts w:ascii="Arial" w:hAnsi="Arial" w:cs="Arial"/>
          <w:sz w:val="18"/>
          <w:szCs w:val="22"/>
        </w:rPr>
        <w:t xml:space="preserve">65,464, </w:t>
      </w:r>
      <w:r w:rsidRPr="005B40B1">
        <w:rPr>
          <w:rFonts w:ascii="Arial" w:hAnsi="Arial" w:cs="Arial"/>
          <w:sz w:val="18"/>
          <w:szCs w:val="22"/>
        </w:rPr>
        <w:t>65,477</w:t>
      </w:r>
      <w:r w:rsidR="00613849">
        <w:rPr>
          <w:rFonts w:ascii="Arial" w:hAnsi="Arial" w:cs="Arial"/>
          <w:sz w:val="18"/>
          <w:szCs w:val="22"/>
        </w:rPr>
        <w:t xml:space="preserve"> (Nov. 27, 2019)</w:t>
      </w:r>
      <w:r w:rsidRPr="005B40B1">
        <w:rPr>
          <w:rFonts w:ascii="Arial" w:hAnsi="Arial" w:cs="Arial"/>
          <w:sz w:val="18"/>
          <w:szCs w:val="22"/>
        </w:rPr>
        <w:t>.</w:t>
      </w:r>
    </w:p>
  </w:footnote>
  <w:footnote w:id="5">
    <w:p w:rsidR="00794FCF" w:rsidRPr="00497D35" w:rsidRDefault="00794FCF" w:rsidP="00794FCF">
      <w:pPr>
        <w:pStyle w:val="FootnoteText"/>
        <w:rPr>
          <w:rFonts w:ascii="Arial" w:hAnsi="Arial" w:cs="Arial"/>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t xml:space="preserve">42 U.S.C. § 18031(e)(3) (emphasis added); </w:t>
      </w:r>
      <w:r w:rsidRPr="005B40B1">
        <w:rPr>
          <w:rFonts w:ascii="Arial" w:hAnsi="Arial" w:cs="Arial"/>
          <w:i/>
          <w:sz w:val="18"/>
          <w:szCs w:val="22"/>
        </w:rPr>
        <w:t>see generally Almendarez-Torres v. United States</w:t>
      </w:r>
      <w:r w:rsidRPr="005B40B1">
        <w:rPr>
          <w:rFonts w:ascii="Arial" w:hAnsi="Arial" w:cs="Arial"/>
          <w:sz w:val="18"/>
          <w:szCs w:val="22"/>
        </w:rPr>
        <w:t xml:space="preserve">, 523 U.S. 224, 234 (1998) (“‘[T]he title of a statute and the heading of a section’ are ‘tools available for the resolution of a doubt’ about the meaning of a statute.”) (citing </w:t>
      </w:r>
      <w:r w:rsidRPr="005B40B1">
        <w:rPr>
          <w:rFonts w:ascii="Arial" w:hAnsi="Arial" w:cs="Arial"/>
          <w:i/>
          <w:sz w:val="18"/>
          <w:szCs w:val="22"/>
        </w:rPr>
        <w:t>Trainmen v. Baltimore &amp; Ohio R. Co.</w:t>
      </w:r>
      <w:r w:rsidRPr="005B40B1">
        <w:rPr>
          <w:rFonts w:ascii="Arial" w:hAnsi="Arial" w:cs="Arial"/>
          <w:sz w:val="18"/>
          <w:szCs w:val="22"/>
        </w:rPr>
        <w:t>, 331 U. S. 519, 528–29 (1947)).</w:t>
      </w:r>
    </w:p>
  </w:footnote>
  <w:footnote w:id="6">
    <w:p w:rsidR="00794FCF" w:rsidRPr="005B40B1" w:rsidRDefault="00794FCF" w:rsidP="00794FC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 xml:space="preserve">See </w:t>
      </w:r>
      <w:r w:rsidRPr="005B40B1">
        <w:rPr>
          <w:rFonts w:ascii="Arial" w:hAnsi="Arial" w:cs="Arial"/>
          <w:sz w:val="18"/>
          <w:szCs w:val="22"/>
        </w:rPr>
        <w:t>84 Fed. Reg. at 65,472.</w:t>
      </w:r>
    </w:p>
  </w:footnote>
  <w:footnote w:id="7">
    <w:p w:rsidR="00794FCF" w:rsidRPr="005B40B1" w:rsidRDefault="00794FCF" w:rsidP="00794FC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See</w:t>
      </w:r>
      <w:r w:rsidRPr="005B40B1">
        <w:rPr>
          <w:rFonts w:ascii="Arial" w:hAnsi="Arial" w:cs="Arial"/>
          <w:sz w:val="18"/>
          <w:szCs w:val="22"/>
        </w:rPr>
        <w:t xml:space="preserve"> 84 Fed. Reg. at 65,510.</w:t>
      </w:r>
    </w:p>
  </w:footnote>
  <w:footnote w:id="8">
    <w:p w:rsidR="00794FCF" w:rsidRPr="005B40B1" w:rsidRDefault="00794FCF" w:rsidP="00794FCF">
      <w:pPr>
        <w:pStyle w:val="FootnoteText"/>
        <w:rPr>
          <w:rFonts w:ascii="Times New Roman" w:hAnsi="Times New Roman"/>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See, e.g.</w:t>
      </w:r>
      <w:r w:rsidRPr="005B40B1">
        <w:rPr>
          <w:rFonts w:ascii="Arial" w:hAnsi="Arial" w:cs="Arial"/>
          <w:sz w:val="18"/>
          <w:szCs w:val="22"/>
        </w:rPr>
        <w:t xml:space="preserve">, 5 U.S.C. § 552(b)(4) (exempting trade secrets and confidential commercial or financial information from public disclosure under FOIA), 5 U.S.C. § 552(a) (Privacy Act); 18 U.S.C. §1905 (Trade Secrets Act); </w:t>
      </w:r>
      <w:r w:rsidRPr="005B40B1">
        <w:rPr>
          <w:rFonts w:ascii="Arial" w:hAnsi="Arial" w:cs="Arial"/>
          <w:i/>
          <w:sz w:val="18"/>
          <w:szCs w:val="22"/>
        </w:rPr>
        <w:t>see also</w:t>
      </w:r>
      <w:r w:rsidRPr="005B40B1">
        <w:rPr>
          <w:rFonts w:ascii="Arial" w:hAnsi="Arial" w:cs="Arial"/>
          <w:sz w:val="18"/>
          <w:szCs w:val="22"/>
        </w:rPr>
        <w:t xml:space="preserve"> 18 U.S.C. § 1836 (Defend Trade Secrets Act of 2016, recognizing the intellectual property rights of trade secret holders).</w:t>
      </w:r>
      <w:r w:rsidRPr="005B40B1">
        <w:rPr>
          <w:rFonts w:ascii="Times New Roman" w:hAnsi="Times New Roman"/>
          <w:sz w:val="18"/>
          <w:szCs w:val="22"/>
        </w:rPr>
        <w:t xml:space="preserve"> </w:t>
      </w:r>
    </w:p>
  </w:footnote>
  <w:footnote w:id="9">
    <w:p w:rsidR="00794FCF" w:rsidRPr="005B40B1" w:rsidRDefault="00794FCF" w:rsidP="00794FCF">
      <w:pPr>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Cf.</w:t>
      </w:r>
      <w:r w:rsidRPr="005B40B1">
        <w:rPr>
          <w:rFonts w:ascii="Arial" w:hAnsi="Arial" w:cs="Arial"/>
          <w:sz w:val="18"/>
          <w:szCs w:val="22"/>
        </w:rPr>
        <w:t xml:space="preserve"> </w:t>
      </w:r>
      <w:r w:rsidRPr="005B40B1">
        <w:rPr>
          <w:rFonts w:ascii="Arial" w:hAnsi="Arial" w:cs="Arial"/>
          <w:i/>
          <w:iCs/>
          <w:sz w:val="18"/>
          <w:szCs w:val="22"/>
        </w:rPr>
        <w:t>Cummings v. Missouri</w:t>
      </w:r>
      <w:r w:rsidRPr="005B40B1">
        <w:rPr>
          <w:rFonts w:ascii="Arial" w:hAnsi="Arial" w:cs="Arial"/>
          <w:sz w:val="18"/>
          <w:szCs w:val="22"/>
        </w:rPr>
        <w:t>, 71 U.S. 277, 288 (1867) (“[T]</w:t>
      </w:r>
      <w:r w:rsidRPr="005B40B1">
        <w:rPr>
          <w:rFonts w:ascii="Arial" w:hAnsi="Arial" w:cs="Arial"/>
          <w:color w:val="212121"/>
          <w:sz w:val="18"/>
          <w:szCs w:val="22"/>
        </w:rPr>
        <w:t>hat what cannot be done directly cannot be done indirectly; or as [Sir Edward] Coke has it, . . . ‘</w:t>
      </w:r>
      <w:r w:rsidRPr="005B40B1">
        <w:rPr>
          <w:rStyle w:val="Emphasis"/>
          <w:rFonts w:ascii="Arial" w:hAnsi="Arial" w:cs="Arial"/>
          <w:color w:val="212121"/>
          <w:sz w:val="18"/>
          <w:szCs w:val="22"/>
        </w:rPr>
        <w:t>Quando aliquid prohibetur, prohibetur et omne, per quod devenitur ad illud</w:t>
      </w:r>
      <w:r w:rsidRPr="005B40B1">
        <w:rPr>
          <w:rFonts w:ascii="Arial" w:hAnsi="Arial" w:cs="Arial"/>
          <w:color w:val="212121"/>
          <w:sz w:val="18"/>
          <w:szCs w:val="22"/>
        </w:rPr>
        <w:t xml:space="preserve">.’”); </w:t>
      </w:r>
      <w:r w:rsidRPr="005B40B1">
        <w:rPr>
          <w:rFonts w:ascii="Arial" w:hAnsi="Arial" w:cs="Arial"/>
          <w:i/>
          <w:color w:val="212121"/>
          <w:sz w:val="18"/>
          <w:szCs w:val="22"/>
        </w:rPr>
        <w:t xml:space="preserve">cf. </w:t>
      </w:r>
      <w:r w:rsidRPr="005B40B1">
        <w:rPr>
          <w:rFonts w:ascii="Arial" w:hAnsi="Arial" w:cs="Arial"/>
          <w:color w:val="212121"/>
          <w:sz w:val="18"/>
          <w:szCs w:val="22"/>
        </w:rPr>
        <w:t xml:space="preserve">82 Reg. Reg. 37,990, 38,499 (Aug. 14, 2017) (withdrawing a proposal to require third parties to disclose confidential survey reports because the proposal “may appear as if </w:t>
      </w:r>
      <w:r w:rsidR="00351B6B">
        <w:rPr>
          <w:rFonts w:ascii="Arial" w:hAnsi="Arial" w:cs="Arial"/>
          <w:color w:val="212121"/>
          <w:sz w:val="18"/>
          <w:szCs w:val="22"/>
        </w:rPr>
        <w:t xml:space="preserve">[the Centers for Medicare &amp; Medicaid Services] </w:t>
      </w:r>
      <w:r w:rsidRPr="005B40B1">
        <w:rPr>
          <w:rFonts w:ascii="Arial" w:hAnsi="Arial" w:cs="Arial"/>
          <w:color w:val="212121"/>
          <w:sz w:val="18"/>
          <w:szCs w:val="22"/>
        </w:rPr>
        <w:t xml:space="preserve">was attempting to circumvent the [statutory] provision” that prohibits the agency from directly disclosing such reports). </w:t>
      </w:r>
    </w:p>
  </w:footnote>
  <w:footnote w:id="10">
    <w:p w:rsidR="00B16A0F" w:rsidRPr="005B40B1" w:rsidRDefault="00B16A0F" w:rsidP="00B16A0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t>84 Fed Reg. at 65,477.</w:t>
      </w:r>
      <w:bookmarkStart w:id="0" w:name="_GoBack"/>
      <w:bookmarkEnd w:id="0"/>
    </w:p>
  </w:footnote>
  <w:footnote w:id="11">
    <w:p w:rsidR="00B16A0F" w:rsidRPr="005B40B1" w:rsidRDefault="00B16A0F" w:rsidP="00B16A0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Id.</w:t>
      </w:r>
      <w:r w:rsidRPr="005B40B1">
        <w:rPr>
          <w:rFonts w:ascii="Arial" w:hAnsi="Arial" w:cs="Arial"/>
          <w:sz w:val="18"/>
          <w:szCs w:val="22"/>
        </w:rPr>
        <w:t xml:space="preserve"> </w:t>
      </w:r>
    </w:p>
  </w:footnote>
  <w:footnote w:id="12">
    <w:p w:rsidR="00B16A0F" w:rsidRPr="005B40B1" w:rsidRDefault="00B16A0F" w:rsidP="00B16A0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Id.</w:t>
      </w:r>
      <w:r w:rsidRPr="005B40B1">
        <w:rPr>
          <w:rFonts w:ascii="Arial" w:hAnsi="Arial" w:cs="Arial"/>
          <w:sz w:val="18"/>
          <w:szCs w:val="22"/>
        </w:rPr>
        <w:t xml:space="preserve"> at 65,478.</w:t>
      </w:r>
    </w:p>
  </w:footnote>
  <w:footnote w:id="13">
    <w:p w:rsidR="00B16A0F" w:rsidRPr="00F65B16" w:rsidRDefault="00B16A0F" w:rsidP="00B16A0F">
      <w:pPr>
        <w:pStyle w:val="FootnoteText"/>
        <w:rPr>
          <w:rFonts w:ascii="Times New Roman" w:hAnsi="Times New Roman"/>
          <w:sz w:val="22"/>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Id.</w:t>
      </w:r>
      <w:r w:rsidRPr="005B40B1">
        <w:rPr>
          <w:rFonts w:ascii="Times New Roman" w:hAnsi="Times New Roman"/>
          <w:sz w:val="18"/>
          <w:szCs w:val="22"/>
        </w:rPr>
        <w:t xml:space="preserve"> </w:t>
      </w:r>
    </w:p>
  </w:footnote>
  <w:footnote w:id="14">
    <w:p w:rsidR="00B16A0F" w:rsidRPr="005B40B1" w:rsidRDefault="00B16A0F" w:rsidP="00B16A0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Id.</w:t>
      </w:r>
      <w:r w:rsidRPr="005B40B1">
        <w:rPr>
          <w:rFonts w:ascii="Arial" w:hAnsi="Arial" w:cs="Arial"/>
          <w:sz w:val="18"/>
          <w:szCs w:val="22"/>
        </w:rPr>
        <w:t xml:space="preserve"> at 65,479.</w:t>
      </w:r>
    </w:p>
  </w:footnote>
  <w:footnote w:id="15">
    <w:p w:rsidR="00794FCF" w:rsidRPr="005B40B1" w:rsidRDefault="00794FCF" w:rsidP="00794FC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t>84 Fed. Reg. at 65,477.</w:t>
      </w:r>
    </w:p>
  </w:footnote>
  <w:footnote w:id="16">
    <w:p w:rsidR="00794FCF" w:rsidRPr="005B40B1" w:rsidRDefault="00794FCF" w:rsidP="00794FC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t>42 U.S.C. § 18031(e)(3) (emphasis added).</w:t>
      </w:r>
    </w:p>
  </w:footnote>
  <w:footnote w:id="17">
    <w:p w:rsidR="00794FCF" w:rsidRPr="005B40B1" w:rsidRDefault="00794FCF" w:rsidP="00794FCF">
      <w:pPr>
        <w:pStyle w:val="FootnoteText"/>
        <w:rPr>
          <w:rFonts w:ascii="Arial" w:hAnsi="Arial" w:cs="Arial"/>
          <w:sz w:val="18"/>
          <w:szCs w:val="22"/>
        </w:rPr>
      </w:pPr>
      <w:r w:rsidRPr="005B40B1">
        <w:rPr>
          <w:rStyle w:val="FootnoteReference"/>
          <w:rFonts w:ascii="Arial" w:hAnsi="Arial" w:cs="Arial"/>
          <w:sz w:val="18"/>
          <w:szCs w:val="22"/>
        </w:rPr>
        <w:footnoteRef/>
      </w:r>
      <w:r w:rsidRPr="005B40B1">
        <w:rPr>
          <w:rFonts w:ascii="Arial" w:hAnsi="Arial" w:cs="Arial"/>
          <w:sz w:val="18"/>
          <w:szCs w:val="22"/>
        </w:rPr>
        <w:t xml:space="preserve"> </w:t>
      </w:r>
      <w:r w:rsidRPr="005B40B1">
        <w:rPr>
          <w:rFonts w:ascii="Arial" w:hAnsi="Arial" w:cs="Arial"/>
          <w:sz w:val="18"/>
          <w:szCs w:val="22"/>
        </w:rPr>
        <w:tab/>
      </w:r>
      <w:r w:rsidRPr="005B40B1">
        <w:rPr>
          <w:rFonts w:ascii="Arial" w:hAnsi="Arial" w:cs="Arial"/>
          <w:i/>
          <w:sz w:val="18"/>
          <w:szCs w:val="22"/>
        </w:rPr>
        <w:t>See</w:t>
      </w:r>
      <w:r w:rsidRPr="005B40B1">
        <w:rPr>
          <w:rFonts w:ascii="Arial" w:hAnsi="Arial" w:cs="Arial"/>
          <w:sz w:val="18"/>
          <w:szCs w:val="22"/>
        </w:rPr>
        <w:t xml:space="preserve"> 42 U.S.C. §  18031(e)(3) (requiring health insurance exchanges to impose requirements on “health plans seeking certification as qualified health plans”).</w:t>
      </w:r>
    </w:p>
  </w:footnote>
  <w:footnote w:id="18">
    <w:p w:rsidR="00351B6B" w:rsidRPr="000E3A94" w:rsidRDefault="00351B6B" w:rsidP="00351B6B">
      <w:pPr>
        <w:pStyle w:val="FootnoteText"/>
        <w:rPr>
          <w:rFonts w:ascii="Arial" w:hAnsi="Arial" w:cs="Arial"/>
          <w:sz w:val="18"/>
          <w:szCs w:val="18"/>
        </w:rPr>
      </w:pPr>
      <w:r w:rsidRPr="000E3A94">
        <w:rPr>
          <w:rStyle w:val="FootnoteReference"/>
          <w:rFonts w:ascii="Arial" w:hAnsi="Arial" w:cs="Arial"/>
          <w:sz w:val="18"/>
          <w:szCs w:val="18"/>
        </w:rPr>
        <w:footnoteRef/>
      </w:r>
      <w:r w:rsidRPr="000E3A94">
        <w:rPr>
          <w:rFonts w:ascii="Arial" w:hAnsi="Arial" w:cs="Arial"/>
          <w:sz w:val="18"/>
          <w:szCs w:val="18"/>
        </w:rPr>
        <w:t xml:space="preserve"> </w:t>
      </w:r>
      <w:r w:rsidRPr="000E3A94">
        <w:rPr>
          <w:rFonts w:ascii="Arial" w:hAnsi="Arial" w:cs="Arial"/>
          <w:sz w:val="18"/>
          <w:szCs w:val="18"/>
        </w:rPr>
        <w:tab/>
        <w:t>84 Fed. Reg. at 65,477.</w:t>
      </w:r>
    </w:p>
  </w:footnote>
  <w:footnote w:id="19">
    <w:p w:rsidR="00351B6B" w:rsidRPr="000E3A94" w:rsidRDefault="00351B6B" w:rsidP="00351B6B">
      <w:pPr>
        <w:pStyle w:val="FootnoteText"/>
        <w:rPr>
          <w:rFonts w:ascii="Arial" w:hAnsi="Arial" w:cs="Arial"/>
          <w:sz w:val="18"/>
          <w:szCs w:val="18"/>
        </w:rPr>
      </w:pPr>
      <w:r w:rsidRPr="000E3A94">
        <w:rPr>
          <w:rStyle w:val="FootnoteReference"/>
          <w:rFonts w:ascii="Arial" w:hAnsi="Arial" w:cs="Arial"/>
          <w:sz w:val="18"/>
          <w:szCs w:val="18"/>
        </w:rPr>
        <w:footnoteRef/>
      </w:r>
      <w:r w:rsidRPr="000E3A94">
        <w:rPr>
          <w:rFonts w:ascii="Arial" w:hAnsi="Arial" w:cs="Arial"/>
          <w:sz w:val="18"/>
          <w:szCs w:val="18"/>
        </w:rPr>
        <w:t xml:space="preserve"> </w:t>
      </w:r>
      <w:r w:rsidRPr="000E3A94">
        <w:rPr>
          <w:rFonts w:ascii="Arial" w:hAnsi="Arial" w:cs="Arial"/>
          <w:sz w:val="18"/>
          <w:szCs w:val="18"/>
        </w:rPr>
        <w:tab/>
      </w:r>
      <w:r w:rsidRPr="000E3A94">
        <w:rPr>
          <w:rFonts w:ascii="Arial" w:hAnsi="Arial" w:cs="Arial"/>
          <w:i/>
          <w:sz w:val="18"/>
          <w:szCs w:val="18"/>
        </w:rPr>
        <w:t>Id.</w:t>
      </w:r>
      <w:r w:rsidRPr="000E3A94">
        <w:rPr>
          <w:rFonts w:ascii="Arial" w:hAnsi="Arial" w:cs="Arial"/>
          <w:sz w:val="18"/>
          <w:szCs w:val="18"/>
        </w:rPr>
        <w:t xml:space="preserve"> at 65,478–79.</w:t>
      </w:r>
    </w:p>
  </w:footnote>
  <w:footnote w:id="20">
    <w:p w:rsidR="00351B6B" w:rsidRPr="000E3A94" w:rsidRDefault="00351B6B" w:rsidP="00351B6B">
      <w:pPr>
        <w:pStyle w:val="FootnoteText"/>
        <w:rPr>
          <w:rFonts w:ascii="Arial" w:hAnsi="Arial" w:cs="Arial"/>
          <w:sz w:val="18"/>
          <w:szCs w:val="18"/>
        </w:rPr>
      </w:pPr>
      <w:r w:rsidRPr="000E3A94">
        <w:rPr>
          <w:rStyle w:val="FootnoteReference"/>
          <w:rFonts w:ascii="Arial" w:hAnsi="Arial" w:cs="Arial"/>
          <w:sz w:val="18"/>
          <w:szCs w:val="18"/>
        </w:rPr>
        <w:footnoteRef/>
      </w:r>
      <w:r w:rsidRPr="000E3A94">
        <w:rPr>
          <w:rFonts w:ascii="Arial" w:hAnsi="Arial" w:cs="Arial"/>
          <w:sz w:val="18"/>
          <w:szCs w:val="18"/>
        </w:rPr>
        <w:t xml:space="preserve"> </w:t>
      </w:r>
      <w:r w:rsidRPr="000E3A94">
        <w:rPr>
          <w:rFonts w:ascii="Arial" w:hAnsi="Arial" w:cs="Arial"/>
          <w:sz w:val="18"/>
          <w:szCs w:val="18"/>
        </w:rPr>
        <w:tab/>
      </w:r>
      <w:r w:rsidRPr="000E3A94">
        <w:rPr>
          <w:rFonts w:ascii="Arial" w:hAnsi="Arial" w:cs="Arial"/>
          <w:i/>
          <w:sz w:val="18"/>
          <w:szCs w:val="18"/>
        </w:rPr>
        <w:t>Id.</w:t>
      </w:r>
      <w:r w:rsidRPr="000E3A94">
        <w:rPr>
          <w:rFonts w:ascii="Arial" w:hAnsi="Arial" w:cs="Arial"/>
          <w:sz w:val="18"/>
          <w:szCs w:val="18"/>
        </w:rPr>
        <w:t xml:space="preserve"> at 65,477.</w:t>
      </w:r>
    </w:p>
  </w:footnote>
  <w:footnote w:id="21">
    <w:p w:rsidR="00351B6B" w:rsidRPr="000E3A94" w:rsidRDefault="00351B6B" w:rsidP="00351B6B">
      <w:pPr>
        <w:pStyle w:val="FootnoteText"/>
        <w:rPr>
          <w:rFonts w:ascii="Arial" w:hAnsi="Arial" w:cs="Arial"/>
          <w:sz w:val="18"/>
          <w:szCs w:val="18"/>
        </w:rPr>
      </w:pPr>
      <w:r w:rsidRPr="000E3A94">
        <w:rPr>
          <w:rStyle w:val="FootnoteReference"/>
          <w:rFonts w:ascii="Arial" w:hAnsi="Arial" w:cs="Arial"/>
          <w:sz w:val="18"/>
          <w:szCs w:val="18"/>
        </w:rPr>
        <w:footnoteRef/>
      </w:r>
      <w:r w:rsidRPr="000E3A94">
        <w:rPr>
          <w:rFonts w:ascii="Arial" w:hAnsi="Arial" w:cs="Arial"/>
          <w:sz w:val="18"/>
          <w:szCs w:val="18"/>
        </w:rPr>
        <w:t xml:space="preserve"> </w:t>
      </w:r>
      <w:r w:rsidRPr="000E3A94">
        <w:rPr>
          <w:rFonts w:ascii="Arial" w:hAnsi="Arial" w:cs="Arial"/>
          <w:sz w:val="18"/>
          <w:szCs w:val="18"/>
        </w:rPr>
        <w:tab/>
      </w:r>
      <w:r w:rsidRPr="000E3A94">
        <w:rPr>
          <w:rFonts w:ascii="Arial" w:hAnsi="Arial" w:cs="Arial"/>
          <w:i/>
          <w:sz w:val="18"/>
          <w:szCs w:val="18"/>
        </w:rPr>
        <w:t>Id.</w:t>
      </w:r>
      <w:r w:rsidRPr="000E3A94">
        <w:rPr>
          <w:rFonts w:ascii="Arial" w:hAnsi="Arial" w:cs="Arial"/>
          <w:sz w:val="18"/>
          <w:szCs w:val="18"/>
        </w:rPr>
        <w:t xml:space="preserve"> at 65,477–78.</w:t>
      </w:r>
    </w:p>
  </w:footnote>
  <w:footnote w:id="22">
    <w:p w:rsidR="00351B6B" w:rsidRPr="000E3A94" w:rsidRDefault="00351B6B" w:rsidP="00351B6B">
      <w:pPr>
        <w:pStyle w:val="FootnoteText"/>
        <w:rPr>
          <w:rFonts w:ascii="Arial" w:hAnsi="Arial" w:cs="Arial"/>
          <w:sz w:val="18"/>
          <w:szCs w:val="18"/>
        </w:rPr>
      </w:pPr>
      <w:r w:rsidRPr="000E3A94">
        <w:rPr>
          <w:rStyle w:val="FootnoteReference"/>
          <w:rFonts w:ascii="Arial" w:hAnsi="Arial" w:cs="Arial"/>
          <w:sz w:val="18"/>
          <w:szCs w:val="18"/>
        </w:rPr>
        <w:footnoteRef/>
      </w:r>
      <w:r w:rsidRPr="000E3A94">
        <w:rPr>
          <w:rFonts w:ascii="Arial" w:hAnsi="Arial" w:cs="Arial"/>
          <w:sz w:val="18"/>
          <w:szCs w:val="18"/>
        </w:rPr>
        <w:t xml:space="preserve"> </w:t>
      </w:r>
      <w:r w:rsidRPr="000E3A94">
        <w:rPr>
          <w:rFonts w:ascii="Arial" w:hAnsi="Arial" w:cs="Arial"/>
          <w:sz w:val="18"/>
          <w:szCs w:val="18"/>
        </w:rPr>
        <w:tab/>
      </w:r>
      <w:r w:rsidRPr="000E3A94">
        <w:rPr>
          <w:rFonts w:ascii="Arial" w:hAnsi="Arial" w:cs="Arial"/>
          <w:i/>
          <w:sz w:val="18"/>
          <w:szCs w:val="18"/>
        </w:rPr>
        <w:t>See, e.g.</w:t>
      </w:r>
      <w:r w:rsidRPr="000E3A94">
        <w:rPr>
          <w:rFonts w:ascii="Arial" w:hAnsi="Arial" w:cs="Arial"/>
          <w:sz w:val="18"/>
          <w:szCs w:val="18"/>
        </w:rPr>
        <w:t xml:space="preserve">, </w:t>
      </w:r>
      <w:r w:rsidRPr="000E3A94">
        <w:rPr>
          <w:rFonts w:ascii="Arial" w:hAnsi="Arial" w:cs="Arial"/>
          <w:i/>
          <w:sz w:val="18"/>
          <w:szCs w:val="18"/>
        </w:rPr>
        <w:t>id.</w:t>
      </w:r>
      <w:r w:rsidRPr="000E3A94">
        <w:rPr>
          <w:rFonts w:ascii="Arial" w:hAnsi="Arial" w:cs="Arial"/>
          <w:sz w:val="18"/>
          <w:szCs w:val="18"/>
        </w:rPr>
        <w:t xml:space="preserve"> at 65,465–68, 65,477–78.</w:t>
      </w:r>
    </w:p>
  </w:footnote>
  <w:footnote w:id="23">
    <w:p w:rsidR="00E765E0" w:rsidRPr="000E3A94" w:rsidRDefault="00E765E0">
      <w:pPr>
        <w:pStyle w:val="FootnoteText"/>
        <w:rPr>
          <w:rFonts w:ascii="Arial" w:hAnsi="Arial" w:cs="Arial"/>
          <w:sz w:val="18"/>
          <w:szCs w:val="18"/>
        </w:rPr>
      </w:pPr>
      <w:r w:rsidRPr="000E3A94">
        <w:rPr>
          <w:rStyle w:val="FootnoteReference"/>
          <w:rFonts w:ascii="Arial" w:hAnsi="Arial" w:cs="Arial"/>
          <w:sz w:val="18"/>
          <w:szCs w:val="18"/>
        </w:rPr>
        <w:footnoteRef/>
      </w:r>
      <w:r w:rsidRPr="000E3A94">
        <w:rPr>
          <w:rFonts w:ascii="Arial" w:hAnsi="Arial" w:cs="Arial"/>
          <w:sz w:val="18"/>
          <w:szCs w:val="18"/>
        </w:rPr>
        <w:t xml:space="preserve"> </w:t>
      </w:r>
      <w:r w:rsidRPr="000E3A94">
        <w:rPr>
          <w:rFonts w:ascii="Arial" w:hAnsi="Arial" w:cs="Arial"/>
          <w:sz w:val="18"/>
          <w:szCs w:val="18"/>
        </w:rPr>
        <w:tab/>
        <w:t>84 Fed. Reg. at 65,479.</w:t>
      </w:r>
    </w:p>
  </w:footnote>
  <w:footnote w:id="24">
    <w:p w:rsidR="00F91DD7" w:rsidRPr="000E3A94" w:rsidRDefault="00F91DD7" w:rsidP="00F91DD7">
      <w:pPr>
        <w:pStyle w:val="FootnoteText"/>
        <w:rPr>
          <w:rFonts w:ascii="Arial" w:hAnsi="Arial" w:cs="Arial"/>
          <w:sz w:val="18"/>
          <w:szCs w:val="18"/>
        </w:rPr>
      </w:pPr>
      <w:r w:rsidRPr="000E3A94">
        <w:rPr>
          <w:rStyle w:val="FootnoteReference"/>
          <w:rFonts w:ascii="Arial" w:hAnsi="Arial" w:cs="Arial"/>
          <w:sz w:val="18"/>
          <w:szCs w:val="18"/>
        </w:rPr>
        <w:footnoteRef/>
      </w:r>
      <w:r w:rsidRPr="000E3A94">
        <w:rPr>
          <w:rFonts w:ascii="Arial" w:hAnsi="Arial" w:cs="Arial"/>
          <w:sz w:val="18"/>
          <w:szCs w:val="18"/>
        </w:rPr>
        <w:t xml:space="preserve"> </w:t>
      </w:r>
      <w:r w:rsidRPr="000E3A94">
        <w:rPr>
          <w:rFonts w:ascii="Arial" w:hAnsi="Arial" w:cs="Arial"/>
          <w:sz w:val="18"/>
          <w:szCs w:val="18"/>
        </w:rPr>
        <w:tab/>
        <w:t>42 U.S.C. § 18031(e)(3) (emphasis added).</w:t>
      </w:r>
    </w:p>
  </w:footnote>
  <w:footnote w:id="25">
    <w:p w:rsidR="00794FCF" w:rsidRPr="00497D35" w:rsidRDefault="00794FCF" w:rsidP="00794FCF">
      <w:pPr>
        <w:pStyle w:val="FootnoteText"/>
        <w:rPr>
          <w:rFonts w:ascii="Arial" w:hAnsi="Arial" w:cs="Arial"/>
        </w:rPr>
      </w:pPr>
      <w:r w:rsidRPr="005B40B1">
        <w:rPr>
          <w:rStyle w:val="FootnoteReference"/>
          <w:rFonts w:ascii="Arial" w:hAnsi="Arial" w:cs="Arial"/>
          <w:sz w:val="18"/>
        </w:rPr>
        <w:footnoteRef/>
      </w:r>
      <w:r w:rsidRPr="005B40B1">
        <w:rPr>
          <w:rFonts w:ascii="Arial" w:hAnsi="Arial" w:cs="Arial"/>
          <w:sz w:val="18"/>
        </w:rPr>
        <w:t xml:space="preserve"> </w:t>
      </w:r>
      <w:r w:rsidRPr="005B40B1">
        <w:rPr>
          <w:rFonts w:ascii="Arial" w:hAnsi="Arial" w:cs="Arial"/>
          <w:sz w:val="18"/>
        </w:rPr>
        <w:tab/>
      </w:r>
      <w:r w:rsidRPr="005B40B1">
        <w:rPr>
          <w:rFonts w:ascii="Arial" w:hAnsi="Arial" w:cs="Arial"/>
          <w:i/>
          <w:sz w:val="18"/>
        </w:rPr>
        <w:t>Central Hudson Gas &amp; Elec. Corp. v. Public Serv. Comm’n of New York</w:t>
      </w:r>
      <w:r w:rsidRPr="005B40B1">
        <w:rPr>
          <w:rFonts w:ascii="Arial" w:hAnsi="Arial" w:cs="Arial"/>
          <w:sz w:val="18"/>
        </w:rPr>
        <w:t xml:space="preserve">, 447 U.S. 557, 566 (1980). Certain uncontroversial commercial disclosures may be required consistent with </w:t>
      </w:r>
      <w:r w:rsidRPr="005B40B1">
        <w:rPr>
          <w:rFonts w:ascii="Arial" w:hAnsi="Arial" w:cs="Arial"/>
          <w:i/>
          <w:sz w:val="18"/>
        </w:rPr>
        <w:t>Zauderer v. Office of Disciplinary Counsel of Supreme Court of Ohio</w:t>
      </w:r>
      <w:r w:rsidRPr="005B40B1">
        <w:rPr>
          <w:rFonts w:ascii="Arial" w:hAnsi="Arial" w:cs="Arial"/>
          <w:sz w:val="18"/>
        </w:rPr>
        <w:t xml:space="preserve">, 471 U.S. 626 (1985). But the departments have failed to identify a sufficient predicate to justify the application of </w:t>
      </w:r>
      <w:r w:rsidRPr="005B40B1">
        <w:rPr>
          <w:rFonts w:ascii="Arial" w:hAnsi="Arial" w:cs="Arial"/>
          <w:i/>
          <w:sz w:val="18"/>
        </w:rPr>
        <w:t xml:space="preserve">Zauderer </w:t>
      </w:r>
      <w:r w:rsidRPr="005B40B1">
        <w:rPr>
          <w:rFonts w:ascii="Arial" w:hAnsi="Arial" w:cs="Arial"/>
          <w:sz w:val="18"/>
        </w:rPr>
        <w:t xml:space="preserve">to the facts presented here. In any event, the proposed rule here would fail under either test. Even under </w:t>
      </w:r>
      <w:r w:rsidRPr="005B40B1">
        <w:rPr>
          <w:rFonts w:ascii="Arial" w:hAnsi="Arial" w:cs="Arial"/>
          <w:i/>
          <w:sz w:val="18"/>
        </w:rPr>
        <w:t>Zauderer,</w:t>
      </w:r>
      <w:r w:rsidRPr="005B40B1">
        <w:rPr>
          <w:rFonts w:ascii="Arial" w:hAnsi="Arial" w:cs="Arial"/>
          <w:sz w:val="18"/>
        </w:rPr>
        <w:t xml:space="preserve"> a disclosure requirement cannot be “unjustified or unduly burdensome.” </w:t>
      </w:r>
      <w:r w:rsidRPr="005B40B1">
        <w:rPr>
          <w:rFonts w:ascii="Arial" w:hAnsi="Arial" w:cs="Arial"/>
          <w:i/>
          <w:sz w:val="18"/>
        </w:rPr>
        <w:t>Id.</w:t>
      </w:r>
      <w:r w:rsidRPr="005B40B1">
        <w:rPr>
          <w:rFonts w:ascii="Arial" w:hAnsi="Arial" w:cs="Arial"/>
          <w:sz w:val="18"/>
        </w:rPr>
        <w:t xml:space="preserve"> at 651.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9E9"/>
    <w:multiLevelType w:val="hybridMultilevel"/>
    <w:tmpl w:val="99723CE2"/>
    <w:lvl w:ilvl="0" w:tplc="F8F46D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437FF"/>
    <w:multiLevelType w:val="hybridMultilevel"/>
    <w:tmpl w:val="DEF27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B579C"/>
    <w:multiLevelType w:val="hybridMultilevel"/>
    <w:tmpl w:val="97FE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HasDocNum" w:val="True"/>
  </w:docVars>
  <w:rsids>
    <w:rsidRoot w:val="00E63038"/>
    <w:rsid w:val="00036E5A"/>
    <w:rsid w:val="000501F5"/>
    <w:rsid w:val="00083CAC"/>
    <w:rsid w:val="000A0917"/>
    <w:rsid w:val="000E3A94"/>
    <w:rsid w:val="00102554"/>
    <w:rsid w:val="0012583B"/>
    <w:rsid w:val="00153313"/>
    <w:rsid w:val="001C249F"/>
    <w:rsid w:val="001D2772"/>
    <w:rsid w:val="0025131F"/>
    <w:rsid w:val="002F0A4D"/>
    <w:rsid w:val="00351B6B"/>
    <w:rsid w:val="00354D87"/>
    <w:rsid w:val="003E59E9"/>
    <w:rsid w:val="00415527"/>
    <w:rsid w:val="004672A3"/>
    <w:rsid w:val="005B40B1"/>
    <w:rsid w:val="00613849"/>
    <w:rsid w:val="00694133"/>
    <w:rsid w:val="006E214F"/>
    <w:rsid w:val="006E4321"/>
    <w:rsid w:val="00755F48"/>
    <w:rsid w:val="00794FCF"/>
    <w:rsid w:val="00802CEC"/>
    <w:rsid w:val="00912BBE"/>
    <w:rsid w:val="009719BF"/>
    <w:rsid w:val="00A91289"/>
    <w:rsid w:val="00B16A0F"/>
    <w:rsid w:val="00BB4AAD"/>
    <w:rsid w:val="00C56871"/>
    <w:rsid w:val="00C57C35"/>
    <w:rsid w:val="00CF2FC7"/>
    <w:rsid w:val="00D438BE"/>
    <w:rsid w:val="00DB2846"/>
    <w:rsid w:val="00E22199"/>
    <w:rsid w:val="00E63038"/>
    <w:rsid w:val="00E765E0"/>
    <w:rsid w:val="00EA07DA"/>
    <w:rsid w:val="00F5589A"/>
    <w:rsid w:val="00F91DD7"/>
    <w:rsid w:val="00FD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427B1"/>
  <w15:docId w15:val="{BD1B4F89-8706-4875-B56A-14D8041C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038"/>
    <w:pPr>
      <w:spacing w:after="0" w:line="240" w:lineRule="auto"/>
    </w:pPr>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038"/>
    <w:pPr>
      <w:tabs>
        <w:tab w:val="center" w:pos="4680"/>
        <w:tab w:val="right" w:pos="9360"/>
      </w:tabs>
    </w:pPr>
  </w:style>
  <w:style w:type="character" w:customStyle="1" w:styleId="HeaderChar">
    <w:name w:val="Header Char"/>
    <w:basedOn w:val="DefaultParagraphFont"/>
    <w:link w:val="Header"/>
    <w:uiPriority w:val="99"/>
    <w:rsid w:val="00E63038"/>
    <w:rPr>
      <w:sz w:val="24"/>
      <w:szCs w:val="24"/>
      <w:lang w:bidi="he-IL"/>
    </w:rPr>
  </w:style>
  <w:style w:type="paragraph" w:styleId="Footer">
    <w:name w:val="footer"/>
    <w:basedOn w:val="Normal"/>
    <w:link w:val="FooterChar"/>
    <w:uiPriority w:val="99"/>
    <w:unhideWhenUsed/>
    <w:rsid w:val="00E63038"/>
    <w:pPr>
      <w:tabs>
        <w:tab w:val="center" w:pos="4680"/>
        <w:tab w:val="right" w:pos="9360"/>
      </w:tabs>
    </w:pPr>
  </w:style>
  <w:style w:type="character" w:customStyle="1" w:styleId="FooterChar">
    <w:name w:val="Footer Char"/>
    <w:basedOn w:val="DefaultParagraphFont"/>
    <w:link w:val="Footer"/>
    <w:uiPriority w:val="99"/>
    <w:rsid w:val="00E63038"/>
    <w:rPr>
      <w:sz w:val="24"/>
      <w:szCs w:val="24"/>
      <w:lang w:bidi="he-IL"/>
    </w:rPr>
  </w:style>
  <w:style w:type="paragraph" w:styleId="ListParagraph">
    <w:name w:val="List Paragraph"/>
    <w:basedOn w:val="Normal"/>
    <w:uiPriority w:val="34"/>
    <w:qFormat/>
    <w:rsid w:val="00E63038"/>
    <w:pPr>
      <w:ind w:left="720"/>
      <w:contextualSpacing/>
    </w:pPr>
  </w:style>
  <w:style w:type="character" w:styleId="Hyperlink">
    <w:name w:val="Hyperlink"/>
    <w:basedOn w:val="DefaultParagraphFont"/>
    <w:uiPriority w:val="99"/>
    <w:unhideWhenUsed/>
    <w:rsid w:val="00E63038"/>
    <w:rPr>
      <w:color w:val="0563C1" w:themeColor="hyperlink"/>
      <w:u w:val="single"/>
    </w:rPr>
  </w:style>
  <w:style w:type="paragraph" w:styleId="FootnoteText">
    <w:name w:val="footnote text"/>
    <w:basedOn w:val="Normal"/>
    <w:link w:val="FootnoteTextChar"/>
    <w:uiPriority w:val="99"/>
    <w:semiHidden/>
    <w:unhideWhenUsed/>
    <w:rsid w:val="00E63038"/>
    <w:pPr>
      <w:tabs>
        <w:tab w:val="left" w:pos="720"/>
      </w:tabs>
    </w:pPr>
    <w:rPr>
      <w:sz w:val="20"/>
      <w:szCs w:val="20"/>
      <w:lang w:bidi="ar-SA"/>
    </w:rPr>
  </w:style>
  <w:style w:type="character" w:customStyle="1" w:styleId="FootnoteTextChar">
    <w:name w:val="Footnote Text Char"/>
    <w:basedOn w:val="DefaultParagraphFont"/>
    <w:link w:val="FootnoteText"/>
    <w:uiPriority w:val="99"/>
    <w:semiHidden/>
    <w:rsid w:val="00E63038"/>
    <w:rPr>
      <w:sz w:val="20"/>
      <w:szCs w:val="20"/>
    </w:rPr>
  </w:style>
  <w:style w:type="character" w:styleId="FootnoteReference">
    <w:name w:val="footnote reference"/>
    <w:basedOn w:val="DefaultParagraphFont"/>
    <w:uiPriority w:val="99"/>
    <w:semiHidden/>
    <w:unhideWhenUsed/>
    <w:rsid w:val="00E63038"/>
    <w:rPr>
      <w:color w:val="000000"/>
      <w:position w:val="0"/>
      <w:sz w:val="24"/>
      <w:u w:val="none"/>
      <w:vertAlign w:val="superscript"/>
    </w:rPr>
  </w:style>
  <w:style w:type="character" w:styleId="CommentReference">
    <w:name w:val="annotation reference"/>
    <w:basedOn w:val="DefaultParagraphFont"/>
    <w:uiPriority w:val="99"/>
    <w:semiHidden/>
    <w:unhideWhenUsed/>
    <w:rsid w:val="00C56871"/>
    <w:rPr>
      <w:sz w:val="16"/>
      <w:szCs w:val="16"/>
    </w:rPr>
  </w:style>
  <w:style w:type="paragraph" w:styleId="CommentText">
    <w:name w:val="annotation text"/>
    <w:basedOn w:val="Normal"/>
    <w:link w:val="CommentTextChar"/>
    <w:uiPriority w:val="99"/>
    <w:semiHidden/>
    <w:unhideWhenUsed/>
    <w:rsid w:val="00C56871"/>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semiHidden/>
    <w:rsid w:val="00C568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56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871"/>
    <w:rPr>
      <w:rFonts w:ascii="Segoe UI" w:hAnsi="Segoe UI" w:cs="Segoe UI"/>
      <w:sz w:val="18"/>
      <w:szCs w:val="18"/>
      <w:lang w:bidi="he-IL"/>
    </w:rPr>
  </w:style>
  <w:style w:type="character" w:styleId="Emphasis">
    <w:name w:val="Emphasis"/>
    <w:basedOn w:val="DefaultParagraphFont"/>
    <w:uiPriority w:val="20"/>
    <w:qFormat/>
    <w:rsid w:val="00102554"/>
    <w:rPr>
      <w:i/>
      <w:iCs/>
    </w:rPr>
  </w:style>
  <w:style w:type="paragraph" w:customStyle="1" w:styleId="FooterInfo">
    <w:name w:val="FooterInfo"/>
    <w:basedOn w:val="Normal"/>
    <w:next w:val="Footer"/>
    <w:link w:val="FooterInfoChar"/>
    <w:rsid w:val="0025131F"/>
    <w:pPr>
      <w:tabs>
        <w:tab w:val="center" w:pos="4680"/>
        <w:tab w:val="right" w:pos="9360"/>
      </w:tabs>
    </w:pPr>
  </w:style>
  <w:style w:type="character" w:customStyle="1" w:styleId="FooterInfoChar">
    <w:name w:val="FooterInfo Char"/>
    <w:basedOn w:val="DefaultParagraphFont"/>
    <w:link w:val="FooterInfo"/>
    <w:rsid w:val="0025131F"/>
    <w:rPr>
      <w:sz w:val="24"/>
      <w:szCs w:val="24"/>
      <w:lang w:bidi="he-IL"/>
    </w:rPr>
  </w:style>
  <w:style w:type="character" w:styleId="Strong">
    <w:name w:val="Strong"/>
    <w:basedOn w:val="DefaultParagraphFont"/>
    <w:uiPriority w:val="22"/>
    <w:qFormat/>
    <w:rsid w:val="006E4321"/>
    <w:rPr>
      <w:b/>
      <w:bCs/>
    </w:rPr>
  </w:style>
  <w:style w:type="paragraph" w:styleId="CommentSubject">
    <w:name w:val="annotation subject"/>
    <w:basedOn w:val="CommentText"/>
    <w:next w:val="CommentText"/>
    <w:link w:val="CommentSubjectChar"/>
    <w:uiPriority w:val="99"/>
    <w:semiHidden/>
    <w:unhideWhenUsed/>
    <w:rsid w:val="003E59E9"/>
    <w:rPr>
      <w:rFonts w:asciiTheme="minorHAnsi" w:eastAsiaTheme="minorHAnsi" w:hAnsiTheme="minorHAnsi" w:cstheme="minorBidi"/>
      <w:b/>
      <w:bCs/>
      <w:lang w:bidi="he-IL"/>
    </w:rPr>
  </w:style>
  <w:style w:type="character" w:customStyle="1" w:styleId="CommentSubjectChar">
    <w:name w:val="Comment Subject Char"/>
    <w:basedOn w:val="CommentTextChar"/>
    <w:link w:val="CommentSubject"/>
    <w:uiPriority w:val="99"/>
    <w:semiHidden/>
    <w:rsid w:val="003E59E9"/>
    <w:rPr>
      <w:rFonts w:ascii="Times New Roman" w:eastAsia="Times New Roman"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051659">
      <w:bodyDiv w:val="1"/>
      <w:marLeft w:val="0"/>
      <w:marRight w:val="0"/>
      <w:marTop w:val="0"/>
      <w:marBottom w:val="0"/>
      <w:divBdr>
        <w:top w:val="none" w:sz="0" w:space="0" w:color="auto"/>
        <w:left w:val="none" w:sz="0" w:space="0" w:color="auto"/>
        <w:bottom w:val="none" w:sz="0" w:space="0" w:color="auto"/>
        <w:right w:val="none" w:sz="0" w:space="0" w:color="auto"/>
      </w:divBdr>
    </w:div>
    <w:div w:id="1065955118">
      <w:bodyDiv w:val="1"/>
      <w:marLeft w:val="0"/>
      <w:marRight w:val="0"/>
      <w:marTop w:val="0"/>
      <w:marBottom w:val="0"/>
      <w:divBdr>
        <w:top w:val="none" w:sz="0" w:space="0" w:color="auto"/>
        <w:left w:val="none" w:sz="0" w:space="0" w:color="auto"/>
        <w:bottom w:val="none" w:sz="0" w:space="0" w:color="auto"/>
        <w:right w:val="none" w:sz="0" w:space="0" w:color="auto"/>
      </w:divBdr>
    </w:div>
    <w:div w:id="18482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2A"/>
    <w:rsid w:val="002B3FA2"/>
    <w:rsid w:val="002B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824D7C3E9C432AAD6FADA8ACBC147C">
    <w:name w:val="F4824D7C3E9C432AAD6FADA8ACBC147C"/>
    <w:rsid w:val="002B6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50C93AD4857429B28D55038A1D5DF" ma:contentTypeVersion="6" ma:contentTypeDescription="Create a new document." ma:contentTypeScope="" ma:versionID="eb898519a37dea4f62da2a7fd29e3d75">
  <xsd:schema xmlns:xsd="http://www.w3.org/2001/XMLSchema" xmlns:xs="http://www.w3.org/2001/XMLSchema" xmlns:p="http://schemas.microsoft.com/office/2006/metadata/properties" xmlns:ns3="4634f5ca-47df-4003-9ba3-896047ad19cc" targetNamespace="http://schemas.microsoft.com/office/2006/metadata/properties" ma:root="true" ma:fieldsID="9ae6ae68379b40fa5caddaa0d6498f91" ns3:_="">
    <xsd:import namespace="4634f5ca-47df-4003-9ba3-896047ad19c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4f5ca-47df-4003-9ba3-896047ad1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0C1A7-6C0A-42F5-AB23-E45CDBC54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61B841-5245-447F-8100-3D4F18D0AA84}">
  <ds:schemaRefs>
    <ds:schemaRef ds:uri="http://schemas.microsoft.com/sharepoint/v3/contenttype/forms"/>
  </ds:schemaRefs>
</ds:datastoreItem>
</file>

<file path=customXml/itemProps3.xml><?xml version="1.0" encoding="utf-8"?>
<ds:datastoreItem xmlns:ds="http://schemas.openxmlformats.org/officeDocument/2006/customXml" ds:itemID="{3E97F6D1-819F-4F0F-8021-927D8C8A1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4f5ca-47df-4003-9ba3-896047ad1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25656-C8D7-4E17-ACC4-0172B633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Ariel</dc:creator>
  <cp:keywords/>
  <dc:description/>
  <cp:lastModifiedBy>Davis, Peter</cp:lastModifiedBy>
  <cp:revision>2</cp:revision>
  <cp:lastPrinted>2019-12-30T15:23:00Z</cp:lastPrinted>
  <dcterms:created xsi:type="dcterms:W3CDTF">2020-01-13T17:46:00Z</dcterms:created>
  <dcterms:modified xsi:type="dcterms:W3CDTF">2020-01-13T17:46:00Z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0x01010066250C93AD4857429B28D55038A1D5DF</vt:lpwstr>
  </property>
</Properties>
</file>