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38" w:rsidRPr="00B313AE" w:rsidRDefault="00B313AE" w:rsidP="008E3238">
      <w:pPr>
        <w:jc w:val="center"/>
        <w:rPr>
          <w:b/>
        </w:rPr>
      </w:pPr>
      <w:r w:rsidRPr="00B313AE">
        <w:rPr>
          <w:b/>
        </w:rPr>
        <w:t xml:space="preserve">An Examination </w:t>
      </w:r>
      <w:r w:rsidR="009144FB" w:rsidRPr="00B313AE">
        <w:rPr>
          <w:b/>
        </w:rPr>
        <w:t xml:space="preserve">of </w:t>
      </w:r>
      <w:r w:rsidR="0081761E">
        <w:rPr>
          <w:b/>
        </w:rPr>
        <w:t>New Theories on</w:t>
      </w:r>
      <w:r w:rsidR="009144FB" w:rsidRPr="00B313AE">
        <w:rPr>
          <w:b/>
        </w:rPr>
        <w:t xml:space="preserve"> </w:t>
      </w:r>
      <w:r w:rsidR="008E3238" w:rsidRPr="00B313AE">
        <w:rPr>
          <w:b/>
        </w:rPr>
        <w:t>Price Effects of Cross-Market Hospital Mergers</w:t>
      </w:r>
    </w:p>
    <w:p w:rsidR="009D40AC" w:rsidRDefault="009D40AC" w:rsidP="00141A77">
      <w:pPr>
        <w:spacing w:after="0"/>
        <w:jc w:val="center"/>
      </w:pPr>
      <w:r>
        <w:t>David A. Argue and Lona Fowdur</w:t>
      </w:r>
      <w:r>
        <w:rPr>
          <w:rStyle w:val="FootnoteReference"/>
        </w:rPr>
        <w:footnoteReference w:id="1"/>
      </w:r>
    </w:p>
    <w:p w:rsidR="00141A77" w:rsidRDefault="00141A77" w:rsidP="008E3238">
      <w:pPr>
        <w:jc w:val="center"/>
      </w:pPr>
      <w:r>
        <w:t>Economists Incorporated, Washington, DC</w:t>
      </w:r>
    </w:p>
    <w:p w:rsidR="008E3238" w:rsidRDefault="008E3238" w:rsidP="004412A7"/>
    <w:p w:rsidR="00290DB9" w:rsidRDefault="007D5306" w:rsidP="004412A7">
      <w:r>
        <w:t>T</w:t>
      </w:r>
      <w:r w:rsidR="00365120">
        <w:t>raditionally</w:t>
      </w:r>
      <w:r w:rsidR="00DC4A9C">
        <w:t>,</w:t>
      </w:r>
      <w:r w:rsidR="005A3A0E">
        <w:t xml:space="preserve"> mergers </w:t>
      </w:r>
      <w:r w:rsidR="009144FB">
        <w:t xml:space="preserve">that </w:t>
      </w:r>
      <w:r w:rsidR="005A3A0E">
        <w:t>involv</w:t>
      </w:r>
      <w:r w:rsidR="009144FB">
        <w:t>e</w:t>
      </w:r>
      <w:r w:rsidR="005A3A0E">
        <w:t xml:space="preserve"> combinations of </w:t>
      </w:r>
      <w:r w:rsidR="00DC4A9C">
        <w:t>hospitals</w:t>
      </w:r>
      <w:r w:rsidR="004412A7">
        <w:t xml:space="preserve"> in different markets</w:t>
      </w:r>
      <w:r w:rsidR="003B6FAF">
        <w:t xml:space="preserve"> </w:t>
      </w:r>
      <w:r w:rsidR="00365120">
        <w:t>have not raised</w:t>
      </w:r>
      <w:r w:rsidR="004412A7">
        <w:t xml:space="preserve"> concerns under </w:t>
      </w:r>
      <w:r w:rsidR="00365120">
        <w:t>the</w:t>
      </w:r>
      <w:r w:rsidR="004412A7">
        <w:t xml:space="preserve"> competitive effects </w:t>
      </w:r>
      <w:r w:rsidR="00365120">
        <w:t>framework</w:t>
      </w:r>
      <w:r w:rsidR="00B313AE">
        <w:t xml:space="preserve"> of</w:t>
      </w:r>
      <w:r w:rsidR="004412A7">
        <w:t xml:space="preserve"> the Horizontal Merger Guidelines</w:t>
      </w:r>
      <w:r w:rsidR="0090011E">
        <w:t>, but the FTC appears to be contemplating an expansion of antitrust scrutiny beyond that called for by the Guidelines.</w:t>
      </w:r>
      <w:r w:rsidR="004412A7">
        <w:rPr>
          <w:rStyle w:val="FootnoteReference"/>
        </w:rPr>
        <w:footnoteReference w:id="2"/>
      </w:r>
      <w:r w:rsidR="004412A7">
        <w:t xml:space="preserve">  </w:t>
      </w:r>
      <w:r w:rsidR="00DC4A9C">
        <w:t>U</w:t>
      </w:r>
      <w:r w:rsidR="004412A7">
        <w:t xml:space="preserve">nder the Guidelines framework, competitive effects are based substantially on </w:t>
      </w:r>
      <w:r w:rsidR="00DC4A9C">
        <w:t>the</w:t>
      </w:r>
      <w:r w:rsidR="004412A7">
        <w:t xml:space="preserve"> substitutability </w:t>
      </w:r>
      <w:r w:rsidR="00DC4A9C">
        <w:t>of</w:t>
      </w:r>
      <w:r w:rsidR="004412A7">
        <w:t xml:space="preserve"> hospitals </w:t>
      </w:r>
      <w:r w:rsidR="004412A7" w:rsidRPr="00DC4A9C">
        <w:rPr>
          <w:i/>
        </w:rPr>
        <w:t>within</w:t>
      </w:r>
      <w:r w:rsidR="004412A7">
        <w:t xml:space="preserve"> a </w:t>
      </w:r>
      <w:r w:rsidR="009144FB">
        <w:t xml:space="preserve">properly </w:t>
      </w:r>
      <w:r w:rsidR="004412A7">
        <w:t xml:space="preserve">defined geographic market.  </w:t>
      </w:r>
      <w:r w:rsidR="009144FB">
        <w:t>T</w:t>
      </w:r>
      <w:r w:rsidR="00B24BF9">
        <w:t xml:space="preserve">he new enforcement </w:t>
      </w:r>
      <w:r w:rsidR="0090011E">
        <w:t>approach would, however, involve</w:t>
      </w:r>
      <w:r w:rsidR="00460A7F">
        <w:t xml:space="preserve"> transactions </w:t>
      </w:r>
      <w:r w:rsidR="00B24BF9">
        <w:t xml:space="preserve">that </w:t>
      </w:r>
      <w:r w:rsidR="00DC4A9C">
        <w:t xml:space="preserve">cross </w:t>
      </w:r>
      <w:r w:rsidR="00DC4A9C" w:rsidRPr="00DC4A9C">
        <w:rPr>
          <w:i/>
        </w:rPr>
        <w:t>between</w:t>
      </w:r>
      <w:r w:rsidR="00DC4A9C">
        <w:t xml:space="preserve"> separate markets</w:t>
      </w:r>
      <w:r w:rsidR="0090011E">
        <w:t>, and this is likely to be an area of particular interest to hospital systems.</w:t>
      </w:r>
      <w:r w:rsidR="00B24BF9">
        <w:t xml:space="preserve">  </w:t>
      </w:r>
    </w:p>
    <w:p w:rsidR="00DC4A9C" w:rsidRDefault="004412A7" w:rsidP="004412A7">
      <w:r>
        <w:t xml:space="preserve">The </w:t>
      </w:r>
      <w:r w:rsidR="007724E7">
        <w:t>FTC’s</w:t>
      </w:r>
      <w:r>
        <w:t xml:space="preserve"> search for a new economic </w:t>
      </w:r>
      <w:r w:rsidR="00DC4A9C">
        <w:t>theory</w:t>
      </w:r>
      <w:r>
        <w:t xml:space="preserve"> for </w:t>
      </w:r>
      <w:r w:rsidR="00B313AE">
        <w:t>these “cross-market”</w:t>
      </w:r>
      <w:r>
        <w:t xml:space="preserve"> transactions </w:t>
      </w:r>
      <w:r w:rsidR="00B313AE">
        <w:t>draws from</w:t>
      </w:r>
      <w:r w:rsidR="0015336C">
        <w:t xml:space="preserve"> an</w:t>
      </w:r>
      <w:r w:rsidR="00460A7F">
        <w:t xml:space="preserve"> emerging</w:t>
      </w:r>
      <w:r>
        <w:t xml:space="preserve"> body of economic literature</w:t>
      </w:r>
      <w:r w:rsidR="00DC4A9C">
        <w:t>,</w:t>
      </w:r>
      <w:r w:rsidR="00191602">
        <w:t xml:space="preserve"> </w:t>
      </w:r>
      <w:r w:rsidR="00DC4A9C">
        <w:t xml:space="preserve">including </w:t>
      </w:r>
      <w:r w:rsidR="00290DB9">
        <w:t xml:space="preserve">a recent working paper by </w:t>
      </w:r>
      <w:r w:rsidR="00D475DA">
        <w:t xml:space="preserve">former </w:t>
      </w:r>
      <w:r w:rsidR="00DC4A9C">
        <w:t>FTC</w:t>
      </w:r>
      <w:r>
        <w:t xml:space="preserve"> economist</w:t>
      </w:r>
      <w:r w:rsidR="00E31B80">
        <w:t xml:space="preserve">, </w:t>
      </w:r>
      <w:proofErr w:type="spellStart"/>
      <w:r w:rsidR="00E31B80">
        <w:t>Leemore</w:t>
      </w:r>
      <w:proofErr w:type="spellEnd"/>
      <w:r w:rsidR="00E31B80">
        <w:t xml:space="preserve"> </w:t>
      </w:r>
      <w:proofErr w:type="spellStart"/>
      <w:r w:rsidR="00E31B80">
        <w:t>Dafny</w:t>
      </w:r>
      <w:proofErr w:type="spellEnd"/>
      <w:r w:rsidR="00E31B80">
        <w:t xml:space="preserve"> and two coauthors</w:t>
      </w:r>
      <w:r w:rsidR="002E0D3C">
        <w:t>, Kate Ho and Robin Lee</w:t>
      </w:r>
      <w:r w:rsidR="00252306">
        <w:t xml:space="preserve"> (</w:t>
      </w:r>
      <w:r w:rsidR="002E0D3C">
        <w:t>“</w:t>
      </w:r>
      <w:r w:rsidR="00252306">
        <w:t>DH&amp;L</w:t>
      </w:r>
      <w:r w:rsidR="002E0D3C">
        <w:t>”</w:t>
      </w:r>
      <w:r w:rsidR="00252306">
        <w:t>)</w:t>
      </w:r>
      <w:r>
        <w:t>.</w:t>
      </w:r>
      <w:r w:rsidR="00D908AF">
        <w:rPr>
          <w:rStyle w:val="FootnoteReference"/>
        </w:rPr>
        <w:footnoteReference w:id="3"/>
      </w:r>
      <w:r>
        <w:t xml:space="preserve"> </w:t>
      </w:r>
      <w:r w:rsidR="00564CE8">
        <w:t xml:space="preserve"> </w:t>
      </w:r>
      <w:r w:rsidR="00DC4A9C">
        <w:t xml:space="preserve">DH&amp;L propose </w:t>
      </w:r>
      <w:r w:rsidR="007724E7">
        <w:t>a theory</w:t>
      </w:r>
      <w:r w:rsidR="00DC4A9C">
        <w:t xml:space="preserve"> for evaluating whether and under what</w:t>
      </w:r>
      <w:r w:rsidR="00B313AE">
        <w:t xml:space="preserve"> circumstances cross-market</w:t>
      </w:r>
      <w:r w:rsidR="00DC4A9C">
        <w:t xml:space="preserve"> mergers might have anticompetitive effects.  </w:t>
      </w:r>
      <w:r w:rsidR="00564CE8">
        <w:t xml:space="preserve">Based on </w:t>
      </w:r>
      <w:r w:rsidR="00DC4A9C">
        <w:t xml:space="preserve">empirical tests of their </w:t>
      </w:r>
      <w:r w:rsidR="007724E7">
        <w:t>theory</w:t>
      </w:r>
      <w:r w:rsidR="00564CE8">
        <w:t>, DH&amp;L</w:t>
      </w:r>
      <w:r w:rsidR="00DC4A9C">
        <w:t xml:space="preserve"> find price increases of 6% to 10% attributable to certain cross-market hospital mergers</w:t>
      </w:r>
      <w:r w:rsidR="00DC4A9C" w:rsidRPr="00621EE7">
        <w:rPr>
          <w:b/>
        </w:rPr>
        <w:t xml:space="preserve">.  </w:t>
      </w:r>
      <w:r w:rsidR="007724E7" w:rsidRPr="00621EE7">
        <w:rPr>
          <w:b/>
        </w:rPr>
        <w:t xml:space="preserve">Underlying the theory and empirical results, however, are some </w:t>
      </w:r>
      <w:r w:rsidR="00DD5BF5">
        <w:rPr>
          <w:b/>
        </w:rPr>
        <w:t>questionable</w:t>
      </w:r>
      <w:r w:rsidR="00DD5BF5" w:rsidRPr="00621EE7">
        <w:rPr>
          <w:b/>
        </w:rPr>
        <w:t xml:space="preserve"> </w:t>
      </w:r>
      <w:r w:rsidR="007724E7" w:rsidRPr="00621EE7">
        <w:rPr>
          <w:b/>
        </w:rPr>
        <w:t xml:space="preserve">assumptions that </w:t>
      </w:r>
      <w:r w:rsidR="00DD5BF5">
        <w:rPr>
          <w:b/>
        </w:rPr>
        <w:t xml:space="preserve">appear to </w:t>
      </w:r>
      <w:r w:rsidR="007724E7" w:rsidRPr="00621EE7">
        <w:rPr>
          <w:b/>
        </w:rPr>
        <w:t>limit their applicability and validity</w:t>
      </w:r>
      <w:r w:rsidR="007724E7">
        <w:t>.</w:t>
      </w:r>
    </w:p>
    <w:p w:rsidR="00772946" w:rsidRPr="00772946" w:rsidRDefault="00772946" w:rsidP="00141A77">
      <w:pPr>
        <w:keepNext/>
        <w:spacing w:before="360" w:after="360"/>
        <w:rPr>
          <w:b/>
        </w:rPr>
      </w:pPr>
      <w:r w:rsidRPr="00772946">
        <w:rPr>
          <w:b/>
        </w:rPr>
        <w:t>The</w:t>
      </w:r>
      <w:r w:rsidR="008C6ECF">
        <w:rPr>
          <w:b/>
        </w:rPr>
        <w:t xml:space="preserve"> New The</w:t>
      </w:r>
      <w:r w:rsidRPr="00772946">
        <w:rPr>
          <w:b/>
        </w:rPr>
        <w:t>ory and Empirical Analysis of Cross-Market Hospital Mergers</w:t>
      </w:r>
    </w:p>
    <w:p w:rsidR="001E2233" w:rsidRPr="004412A7" w:rsidRDefault="001E2233" w:rsidP="00A34AFF">
      <w:pPr>
        <w:rPr>
          <w:rFonts w:eastAsia="Times New Roman" w:cs="Times New Roman"/>
          <w:bCs/>
          <w:iCs/>
          <w:szCs w:val="24"/>
        </w:rPr>
      </w:pPr>
      <w:r w:rsidRPr="003B6FAF">
        <w:rPr>
          <w:rFonts w:eastAsia="Times New Roman" w:cs="Times New Roman"/>
          <w:bCs/>
          <w:iCs/>
          <w:szCs w:val="24"/>
        </w:rPr>
        <w:t>DH&amp;L propose</w:t>
      </w:r>
      <w:r w:rsidR="007724E7">
        <w:rPr>
          <w:rFonts w:eastAsia="Times New Roman" w:cs="Times New Roman"/>
          <w:bCs/>
          <w:iCs/>
          <w:szCs w:val="24"/>
        </w:rPr>
        <w:t xml:space="preserve"> a theory with two </w:t>
      </w:r>
      <w:r w:rsidRPr="003B6FAF">
        <w:rPr>
          <w:rFonts w:eastAsia="Times New Roman" w:cs="Times New Roman"/>
          <w:bCs/>
          <w:iCs/>
          <w:szCs w:val="24"/>
        </w:rPr>
        <w:t xml:space="preserve">separate </w:t>
      </w:r>
      <w:r w:rsidR="007724E7">
        <w:rPr>
          <w:rFonts w:eastAsia="Times New Roman" w:cs="Times New Roman"/>
          <w:bCs/>
          <w:iCs/>
          <w:szCs w:val="24"/>
        </w:rPr>
        <w:t>means by which cross-market hospital mergers could create</w:t>
      </w:r>
      <w:r w:rsidRPr="003B6FAF">
        <w:rPr>
          <w:rFonts w:eastAsia="Times New Roman" w:cs="Times New Roman"/>
          <w:bCs/>
          <w:iCs/>
          <w:szCs w:val="24"/>
        </w:rPr>
        <w:t xml:space="preserve"> market power: </w:t>
      </w:r>
      <w:r w:rsidR="007724E7">
        <w:rPr>
          <w:rFonts w:eastAsia="Times New Roman" w:cs="Times New Roman"/>
          <w:bCs/>
          <w:iCs/>
          <w:szCs w:val="24"/>
        </w:rPr>
        <w:t>a</w:t>
      </w:r>
      <w:r w:rsidRPr="003B6FAF">
        <w:rPr>
          <w:rFonts w:eastAsia="Times New Roman" w:cs="Times New Roman"/>
          <w:bCs/>
          <w:iCs/>
          <w:szCs w:val="24"/>
        </w:rPr>
        <w:t xml:space="preserve"> </w:t>
      </w:r>
      <w:r w:rsidR="007724E7">
        <w:rPr>
          <w:rFonts w:eastAsia="Times New Roman" w:cs="Times New Roman"/>
          <w:bCs/>
          <w:iCs/>
          <w:szCs w:val="24"/>
        </w:rPr>
        <w:t>“</w:t>
      </w:r>
      <w:r w:rsidRPr="003B6FAF">
        <w:rPr>
          <w:rFonts w:eastAsia="Times New Roman" w:cs="Times New Roman"/>
          <w:bCs/>
          <w:iCs/>
          <w:szCs w:val="24"/>
        </w:rPr>
        <w:t>Common Customer</w:t>
      </w:r>
      <w:r w:rsidR="007724E7">
        <w:rPr>
          <w:rFonts w:eastAsia="Times New Roman" w:cs="Times New Roman"/>
          <w:bCs/>
          <w:iCs/>
          <w:szCs w:val="24"/>
        </w:rPr>
        <w:t>”</w:t>
      </w:r>
      <w:r w:rsidRPr="003B6FAF">
        <w:rPr>
          <w:rFonts w:eastAsia="Times New Roman" w:cs="Times New Roman"/>
          <w:bCs/>
          <w:iCs/>
          <w:szCs w:val="24"/>
        </w:rPr>
        <w:t xml:space="preserve"> effect and a </w:t>
      </w:r>
      <w:r w:rsidR="007724E7">
        <w:rPr>
          <w:rFonts w:eastAsia="Times New Roman" w:cs="Times New Roman"/>
          <w:bCs/>
          <w:iCs/>
          <w:szCs w:val="24"/>
        </w:rPr>
        <w:t>“</w:t>
      </w:r>
      <w:r w:rsidRPr="003B6FAF">
        <w:rPr>
          <w:rFonts w:eastAsia="Times New Roman" w:cs="Times New Roman"/>
          <w:bCs/>
          <w:iCs/>
          <w:szCs w:val="24"/>
        </w:rPr>
        <w:t>Common Insurer</w:t>
      </w:r>
      <w:r w:rsidR="007724E7">
        <w:rPr>
          <w:rFonts w:eastAsia="Times New Roman" w:cs="Times New Roman"/>
          <w:bCs/>
          <w:iCs/>
          <w:szCs w:val="24"/>
        </w:rPr>
        <w:t>”</w:t>
      </w:r>
      <w:r w:rsidRPr="003B6FAF">
        <w:rPr>
          <w:rFonts w:eastAsia="Times New Roman" w:cs="Times New Roman"/>
          <w:bCs/>
          <w:iCs/>
          <w:szCs w:val="24"/>
        </w:rPr>
        <w:t xml:space="preserve"> effect.  The Common Customer effect, which </w:t>
      </w:r>
      <w:r w:rsidR="00D475DA">
        <w:rPr>
          <w:rFonts w:eastAsia="Times New Roman" w:cs="Times New Roman"/>
          <w:bCs/>
          <w:iCs/>
          <w:szCs w:val="24"/>
        </w:rPr>
        <w:t>DH&amp;L imply is</w:t>
      </w:r>
      <w:r w:rsidRPr="003B6FAF">
        <w:rPr>
          <w:rFonts w:eastAsia="Times New Roman" w:cs="Times New Roman"/>
          <w:bCs/>
          <w:iCs/>
          <w:szCs w:val="24"/>
        </w:rPr>
        <w:t xml:space="preserve"> the more important of the two, arises </w:t>
      </w:r>
      <w:r w:rsidR="007724E7">
        <w:rPr>
          <w:rFonts w:eastAsia="Times New Roman" w:cs="Times New Roman"/>
          <w:bCs/>
          <w:iCs/>
          <w:szCs w:val="24"/>
        </w:rPr>
        <w:t>as a result</w:t>
      </w:r>
      <w:r w:rsidRPr="003B6FAF">
        <w:rPr>
          <w:rFonts w:eastAsia="Times New Roman" w:cs="Times New Roman"/>
          <w:bCs/>
          <w:iCs/>
          <w:szCs w:val="24"/>
        </w:rPr>
        <w:t xml:space="preserve"> of employers </w:t>
      </w:r>
      <w:r w:rsidR="007724E7">
        <w:rPr>
          <w:rFonts w:eastAsia="Times New Roman" w:cs="Times New Roman"/>
          <w:bCs/>
          <w:iCs/>
          <w:szCs w:val="24"/>
        </w:rPr>
        <w:t>that</w:t>
      </w:r>
      <w:r w:rsidR="00D56818">
        <w:rPr>
          <w:rFonts w:eastAsia="Times New Roman" w:cs="Times New Roman"/>
          <w:bCs/>
          <w:iCs/>
          <w:szCs w:val="24"/>
        </w:rPr>
        <w:t xml:space="preserve"> either have </w:t>
      </w:r>
      <w:r w:rsidR="007724E7">
        <w:rPr>
          <w:rFonts w:eastAsia="Times New Roman" w:cs="Times New Roman"/>
          <w:bCs/>
          <w:iCs/>
          <w:szCs w:val="24"/>
        </w:rPr>
        <w:t>work sites</w:t>
      </w:r>
      <w:r w:rsidR="00D56818">
        <w:rPr>
          <w:rFonts w:eastAsia="Times New Roman" w:cs="Times New Roman"/>
          <w:bCs/>
          <w:iCs/>
          <w:szCs w:val="24"/>
        </w:rPr>
        <w:t xml:space="preserve"> </w:t>
      </w:r>
      <w:r w:rsidR="0032286C">
        <w:rPr>
          <w:rFonts w:eastAsia="Times New Roman" w:cs="Times New Roman"/>
          <w:bCs/>
          <w:iCs/>
          <w:szCs w:val="24"/>
        </w:rPr>
        <w:t xml:space="preserve">in </w:t>
      </w:r>
      <w:r w:rsidR="007724E7">
        <w:rPr>
          <w:rFonts w:eastAsia="Times New Roman" w:cs="Times New Roman"/>
          <w:bCs/>
          <w:iCs/>
          <w:szCs w:val="24"/>
        </w:rPr>
        <w:t>more than one geographic area</w:t>
      </w:r>
      <w:r w:rsidR="0032286C">
        <w:rPr>
          <w:rFonts w:eastAsia="Times New Roman" w:cs="Times New Roman"/>
          <w:bCs/>
          <w:iCs/>
          <w:szCs w:val="24"/>
        </w:rPr>
        <w:t xml:space="preserve"> or </w:t>
      </w:r>
      <w:r w:rsidR="007724E7">
        <w:rPr>
          <w:rFonts w:eastAsia="Times New Roman" w:cs="Times New Roman"/>
          <w:bCs/>
          <w:iCs/>
          <w:szCs w:val="24"/>
        </w:rPr>
        <w:t>a workforce that</w:t>
      </w:r>
      <w:r w:rsidRPr="003B6FAF">
        <w:rPr>
          <w:rFonts w:eastAsia="Times New Roman" w:cs="Times New Roman"/>
          <w:bCs/>
          <w:iCs/>
          <w:szCs w:val="24"/>
        </w:rPr>
        <w:t xml:space="preserve"> resid</w:t>
      </w:r>
      <w:r w:rsidR="007724E7">
        <w:rPr>
          <w:rFonts w:eastAsia="Times New Roman" w:cs="Times New Roman"/>
          <w:bCs/>
          <w:iCs/>
          <w:szCs w:val="24"/>
        </w:rPr>
        <w:t>es in more than one area</w:t>
      </w:r>
      <w:r w:rsidR="00B313AE">
        <w:rPr>
          <w:rFonts w:eastAsia="Times New Roman" w:cs="Times New Roman"/>
          <w:bCs/>
          <w:iCs/>
          <w:szCs w:val="24"/>
        </w:rPr>
        <w:t xml:space="preserve"> and commutes to a common work site</w:t>
      </w:r>
      <w:r w:rsidRPr="003B6FAF">
        <w:rPr>
          <w:rFonts w:eastAsia="Times New Roman" w:cs="Times New Roman"/>
          <w:bCs/>
          <w:iCs/>
          <w:szCs w:val="24"/>
        </w:rPr>
        <w:t>.</w:t>
      </w:r>
      <w:r w:rsidR="00AC27AD">
        <w:rPr>
          <w:rStyle w:val="FootnoteReference"/>
          <w:rFonts w:eastAsia="Times New Roman" w:cs="Times New Roman"/>
          <w:bCs/>
          <w:iCs/>
          <w:szCs w:val="24"/>
        </w:rPr>
        <w:footnoteReference w:id="4"/>
      </w:r>
      <w:r w:rsidRPr="003B6FAF">
        <w:rPr>
          <w:rFonts w:eastAsia="Times New Roman" w:cs="Times New Roman"/>
          <w:bCs/>
          <w:iCs/>
          <w:szCs w:val="24"/>
        </w:rPr>
        <w:t xml:space="preserve">  DH&amp;L hypothesize that </w:t>
      </w:r>
      <w:r w:rsidR="009D40AC">
        <w:rPr>
          <w:rFonts w:eastAsia="Times New Roman" w:cs="Times New Roman"/>
          <w:bCs/>
          <w:iCs/>
          <w:szCs w:val="24"/>
        </w:rPr>
        <w:t>in the presence of common customers,</w:t>
      </w:r>
      <w:r w:rsidR="00B313AE">
        <w:rPr>
          <w:rFonts w:eastAsia="Times New Roman" w:cs="Times New Roman"/>
          <w:bCs/>
          <w:iCs/>
          <w:szCs w:val="24"/>
        </w:rPr>
        <w:t xml:space="preserve"> a hospital </w:t>
      </w:r>
      <w:r w:rsidR="00A34AFF">
        <w:rPr>
          <w:rFonts w:eastAsia="Times New Roman" w:cs="Times New Roman"/>
          <w:bCs/>
          <w:iCs/>
          <w:szCs w:val="24"/>
        </w:rPr>
        <w:t>merger can enable the system to</w:t>
      </w:r>
      <w:r w:rsidR="00B313AE">
        <w:rPr>
          <w:rFonts w:eastAsia="Times New Roman" w:cs="Times New Roman"/>
          <w:bCs/>
          <w:iCs/>
          <w:szCs w:val="24"/>
        </w:rPr>
        <w:t xml:space="preserve"> raise its </w:t>
      </w:r>
      <w:r w:rsidR="00B313AE">
        <w:rPr>
          <w:rFonts w:eastAsia="Times New Roman" w:cs="Times New Roman"/>
          <w:bCs/>
          <w:iCs/>
          <w:szCs w:val="24"/>
        </w:rPr>
        <w:lastRenderedPageBreak/>
        <w:t>prices above competitive levels</w:t>
      </w:r>
      <w:r w:rsidR="00A34AFF">
        <w:rPr>
          <w:rFonts w:eastAsia="Times New Roman" w:cs="Times New Roman"/>
          <w:bCs/>
          <w:iCs/>
          <w:szCs w:val="24"/>
        </w:rPr>
        <w:t xml:space="preserve"> even when the merged entities do not compete for patients.</w:t>
      </w:r>
      <w:r w:rsidR="00A34AFF">
        <w:rPr>
          <w:rStyle w:val="FootnoteReference"/>
          <w:rFonts w:eastAsia="Times New Roman" w:cs="Times New Roman"/>
          <w:bCs/>
          <w:iCs/>
          <w:szCs w:val="24"/>
        </w:rPr>
        <w:footnoteReference w:id="5"/>
      </w:r>
      <w:r w:rsidR="00A34AFF">
        <w:rPr>
          <w:rFonts w:eastAsia="Times New Roman" w:cs="Times New Roman"/>
          <w:bCs/>
          <w:iCs/>
          <w:szCs w:val="24"/>
        </w:rPr>
        <w:t xml:space="preserve"> </w:t>
      </w:r>
      <w:r w:rsidRPr="003B6FAF">
        <w:rPr>
          <w:rFonts w:eastAsia="Times New Roman" w:cs="Times New Roman"/>
          <w:bCs/>
          <w:iCs/>
          <w:szCs w:val="24"/>
        </w:rPr>
        <w:t xml:space="preserve"> </w:t>
      </w:r>
      <w:r w:rsidR="00290DB9">
        <w:rPr>
          <w:rFonts w:eastAsia="Times New Roman" w:cs="Times New Roman"/>
          <w:bCs/>
          <w:iCs/>
          <w:szCs w:val="24"/>
        </w:rPr>
        <w:t xml:space="preserve">This phenomenon arises insofar as common customers </w:t>
      </w:r>
      <w:r w:rsidR="0090011E">
        <w:rPr>
          <w:rFonts w:eastAsia="Times New Roman" w:cs="Times New Roman"/>
          <w:bCs/>
          <w:iCs/>
          <w:szCs w:val="24"/>
        </w:rPr>
        <w:t>receive</w:t>
      </w:r>
      <w:r w:rsidR="00290DB9">
        <w:rPr>
          <w:rFonts w:eastAsia="Times New Roman" w:cs="Times New Roman"/>
          <w:bCs/>
          <w:iCs/>
          <w:szCs w:val="24"/>
        </w:rPr>
        <w:t xml:space="preserve"> greater </w:t>
      </w:r>
      <w:r w:rsidR="0090011E">
        <w:rPr>
          <w:rFonts w:eastAsia="Times New Roman" w:cs="Times New Roman"/>
          <w:bCs/>
          <w:iCs/>
          <w:szCs w:val="24"/>
        </w:rPr>
        <w:t xml:space="preserve">incremental </w:t>
      </w:r>
      <w:r w:rsidR="00290DB9">
        <w:rPr>
          <w:rFonts w:eastAsia="Times New Roman" w:cs="Times New Roman"/>
          <w:bCs/>
          <w:iCs/>
          <w:szCs w:val="24"/>
        </w:rPr>
        <w:t>value</w:t>
      </w:r>
      <w:r w:rsidR="0090011E">
        <w:rPr>
          <w:rFonts w:eastAsia="Times New Roman" w:cs="Times New Roman"/>
          <w:bCs/>
          <w:iCs/>
          <w:szCs w:val="24"/>
        </w:rPr>
        <w:t xml:space="preserve"> from</w:t>
      </w:r>
      <w:r w:rsidR="00290DB9">
        <w:rPr>
          <w:rFonts w:eastAsia="Times New Roman" w:cs="Times New Roman"/>
          <w:bCs/>
          <w:iCs/>
          <w:szCs w:val="24"/>
        </w:rPr>
        <w:t xml:space="preserve"> a network that includes the merged hospitals together than </w:t>
      </w:r>
      <w:r w:rsidR="0090011E">
        <w:rPr>
          <w:rFonts w:eastAsia="Times New Roman" w:cs="Times New Roman"/>
          <w:bCs/>
          <w:iCs/>
          <w:szCs w:val="24"/>
        </w:rPr>
        <w:t>from</w:t>
      </w:r>
      <w:r w:rsidR="00290DB9">
        <w:rPr>
          <w:rFonts w:eastAsia="Times New Roman" w:cs="Times New Roman"/>
          <w:bCs/>
          <w:iCs/>
          <w:szCs w:val="24"/>
        </w:rPr>
        <w:t xml:space="preserve"> the sum </w:t>
      </w:r>
      <w:r w:rsidR="0090011E">
        <w:rPr>
          <w:rFonts w:eastAsia="Times New Roman" w:cs="Times New Roman"/>
          <w:bCs/>
          <w:iCs/>
          <w:szCs w:val="24"/>
        </w:rPr>
        <w:t xml:space="preserve">of the value </w:t>
      </w:r>
      <w:r w:rsidR="00290DB9">
        <w:rPr>
          <w:rFonts w:eastAsia="Times New Roman" w:cs="Times New Roman"/>
          <w:bCs/>
          <w:iCs/>
          <w:szCs w:val="24"/>
        </w:rPr>
        <w:t xml:space="preserve">of networks that include them individually.  </w:t>
      </w:r>
      <w:r w:rsidRPr="003B6FAF">
        <w:rPr>
          <w:rFonts w:eastAsia="Times New Roman" w:cs="Times New Roman"/>
          <w:bCs/>
          <w:iCs/>
          <w:szCs w:val="24"/>
        </w:rPr>
        <w:t xml:space="preserve">Separately, DH&amp;L hypothesize that </w:t>
      </w:r>
      <w:r w:rsidR="00A34AFF">
        <w:rPr>
          <w:rFonts w:eastAsia="Times New Roman" w:cs="Times New Roman"/>
          <w:bCs/>
          <w:iCs/>
          <w:szCs w:val="24"/>
        </w:rPr>
        <w:t xml:space="preserve">merging hospitals in different markets that contract with a common insurer </w:t>
      </w:r>
      <w:r w:rsidRPr="003B6FAF">
        <w:rPr>
          <w:rFonts w:eastAsia="Times New Roman" w:cs="Times New Roman"/>
          <w:bCs/>
          <w:iCs/>
          <w:szCs w:val="24"/>
        </w:rPr>
        <w:t xml:space="preserve">may </w:t>
      </w:r>
      <w:r w:rsidR="00E83F6F">
        <w:rPr>
          <w:rFonts w:eastAsia="Times New Roman" w:cs="Times New Roman"/>
          <w:bCs/>
          <w:iCs/>
          <w:szCs w:val="24"/>
        </w:rPr>
        <w:t xml:space="preserve">also </w:t>
      </w:r>
      <w:r w:rsidR="00A34AFF">
        <w:rPr>
          <w:rFonts w:eastAsia="Times New Roman" w:cs="Times New Roman"/>
          <w:bCs/>
          <w:iCs/>
          <w:szCs w:val="24"/>
        </w:rPr>
        <w:t>be able</w:t>
      </w:r>
      <w:r w:rsidR="009D40AC">
        <w:rPr>
          <w:rFonts w:eastAsia="Times New Roman" w:cs="Times New Roman"/>
          <w:bCs/>
          <w:iCs/>
          <w:szCs w:val="24"/>
        </w:rPr>
        <w:t xml:space="preserve"> to increase</w:t>
      </w:r>
      <w:r w:rsidR="00A34AFF">
        <w:rPr>
          <w:rFonts w:eastAsia="Times New Roman" w:cs="Times New Roman"/>
          <w:bCs/>
          <w:iCs/>
          <w:szCs w:val="24"/>
        </w:rPr>
        <w:t xml:space="preserve"> price.  They note, however, that </w:t>
      </w:r>
      <w:r w:rsidR="00290DB9">
        <w:rPr>
          <w:rFonts w:eastAsia="Times New Roman" w:cs="Times New Roman"/>
          <w:bCs/>
          <w:iCs/>
          <w:szCs w:val="24"/>
        </w:rPr>
        <w:t xml:space="preserve">the Common Insurer </w:t>
      </w:r>
      <w:r w:rsidR="00E83F6F">
        <w:rPr>
          <w:rFonts w:eastAsia="Times New Roman" w:cs="Times New Roman"/>
          <w:bCs/>
          <w:iCs/>
          <w:szCs w:val="24"/>
        </w:rPr>
        <w:t xml:space="preserve">effect may </w:t>
      </w:r>
      <w:r w:rsidR="00E83F6F" w:rsidRPr="003B6FAF">
        <w:rPr>
          <w:rFonts w:eastAsia="Times New Roman" w:cs="Times New Roman"/>
          <w:bCs/>
          <w:iCs/>
          <w:szCs w:val="24"/>
        </w:rPr>
        <w:t>not necessarily be anticompetitive</w:t>
      </w:r>
      <w:r w:rsidR="00A34AFF">
        <w:rPr>
          <w:rFonts w:eastAsia="Times New Roman" w:cs="Times New Roman"/>
          <w:bCs/>
          <w:iCs/>
          <w:szCs w:val="24"/>
        </w:rPr>
        <w:t xml:space="preserve"> and that</w:t>
      </w:r>
      <w:r w:rsidR="00E83F6F">
        <w:rPr>
          <w:rFonts w:eastAsia="Times New Roman" w:cs="Times New Roman"/>
          <w:bCs/>
          <w:iCs/>
          <w:szCs w:val="24"/>
        </w:rPr>
        <w:t xml:space="preserve"> it</w:t>
      </w:r>
      <w:r w:rsidR="00A34AFF">
        <w:rPr>
          <w:rFonts w:eastAsia="Times New Roman" w:cs="Times New Roman"/>
          <w:bCs/>
          <w:iCs/>
          <w:szCs w:val="24"/>
        </w:rPr>
        <w:t xml:space="preserve"> is not</w:t>
      </w:r>
      <w:r w:rsidR="0032286C">
        <w:rPr>
          <w:rFonts w:eastAsia="Times New Roman" w:cs="Times New Roman"/>
          <w:bCs/>
          <w:iCs/>
          <w:szCs w:val="24"/>
        </w:rPr>
        <w:t xml:space="preserve"> </w:t>
      </w:r>
      <w:r w:rsidR="00E83F6F" w:rsidRPr="003B6FAF">
        <w:rPr>
          <w:rFonts w:eastAsia="Times New Roman" w:cs="Times New Roman"/>
          <w:bCs/>
          <w:iCs/>
          <w:szCs w:val="24"/>
        </w:rPr>
        <w:t>as significant a determinant of cross-</w:t>
      </w:r>
      <w:r w:rsidR="009D40AC">
        <w:rPr>
          <w:rFonts w:eastAsia="Times New Roman" w:cs="Times New Roman"/>
          <w:bCs/>
          <w:iCs/>
          <w:szCs w:val="24"/>
        </w:rPr>
        <w:t>market</w:t>
      </w:r>
      <w:r w:rsidR="00E83F6F" w:rsidRPr="003B6FAF">
        <w:rPr>
          <w:rFonts w:eastAsia="Times New Roman" w:cs="Times New Roman"/>
          <w:bCs/>
          <w:iCs/>
          <w:szCs w:val="24"/>
        </w:rPr>
        <w:t xml:space="preserve"> effects as the Common Customer effect.</w:t>
      </w:r>
      <w:r w:rsidR="00E83F6F" w:rsidRPr="003B6FAF">
        <w:rPr>
          <w:rStyle w:val="FootnoteReference"/>
          <w:rFonts w:eastAsia="Times New Roman" w:cs="Times New Roman"/>
          <w:bCs/>
          <w:iCs/>
          <w:szCs w:val="24"/>
        </w:rPr>
        <w:footnoteReference w:id="6"/>
      </w:r>
      <w:r w:rsidR="00E83F6F" w:rsidRPr="003B6FAF">
        <w:rPr>
          <w:rFonts w:eastAsia="Times New Roman" w:cs="Times New Roman"/>
          <w:bCs/>
          <w:iCs/>
          <w:szCs w:val="24"/>
        </w:rPr>
        <w:t xml:space="preserve"> </w:t>
      </w:r>
    </w:p>
    <w:p w:rsidR="007724E7" w:rsidRDefault="007724E7" w:rsidP="007724E7">
      <w:r w:rsidRPr="001E2233">
        <w:t xml:space="preserve">DH&amp;L’s analysis </w:t>
      </w:r>
      <w:r w:rsidR="0090011E">
        <w:t>intends</w:t>
      </w:r>
      <w:r w:rsidR="0090011E" w:rsidRPr="001E2233">
        <w:t xml:space="preserve"> </w:t>
      </w:r>
      <w:r w:rsidRPr="001E2233">
        <w:t xml:space="preserve">to separate the effect of cross-market mergers attributable to lessening competition from effects </w:t>
      </w:r>
      <w:r w:rsidR="009D40AC">
        <w:t xml:space="preserve">attributable to other causes.  </w:t>
      </w:r>
      <w:r w:rsidRPr="001E2233">
        <w:t xml:space="preserve">DH&amp;L attempt to isolate competition-related price changes by estimating post-merger price changes </w:t>
      </w:r>
      <w:r>
        <w:t>for</w:t>
      </w:r>
      <w:r w:rsidRPr="001E2233">
        <w:t xml:space="preserve"> systems that acquire hospitals in an “adjacent” market and those that acquire hospitals in “non-adjacent” markets, comparing both to prices of hospitals unaffected by transactions.  DH&amp;L argue that effects that appear in non-adjacent markets are unrelated to competition</w:t>
      </w:r>
      <w:r>
        <w:t>,</w:t>
      </w:r>
      <w:r w:rsidRPr="001E2233">
        <w:t xml:space="preserve"> but changes in adjacent markets have roots in </w:t>
      </w:r>
      <w:r>
        <w:t xml:space="preserve">incremental hospital </w:t>
      </w:r>
      <w:r w:rsidR="007D030E">
        <w:t>market power</w:t>
      </w:r>
      <w:r w:rsidRPr="001E2233">
        <w:t>.</w:t>
      </w:r>
      <w:r w:rsidR="008B0797">
        <w:rPr>
          <w:rStyle w:val="FootnoteReference"/>
        </w:rPr>
        <w:footnoteReference w:id="7"/>
      </w:r>
      <w:r w:rsidRPr="001E2233">
        <w:t xml:space="preserve">  Their analysis finds post-merger price increases of 6% to 10% for adjacent market hospitals relative to unaffected hospitals and no price increases for non-adjacent market hospitals relative to unaffected hospitals.</w:t>
      </w:r>
      <w:r w:rsidR="0090011E">
        <w:rPr>
          <w:rStyle w:val="FootnoteReference"/>
        </w:rPr>
        <w:footnoteReference w:id="8"/>
      </w:r>
      <w:r w:rsidRPr="001E2233">
        <w:t xml:space="preserve">  </w:t>
      </w:r>
    </w:p>
    <w:p w:rsidR="00AE0C43" w:rsidRDefault="00AE0C43" w:rsidP="00AE0C43">
      <w:r w:rsidRPr="003B6FAF">
        <w:t xml:space="preserve">DH&amp;L </w:t>
      </w:r>
      <w:r>
        <w:t>note</w:t>
      </w:r>
      <w:r w:rsidRPr="003B6FAF">
        <w:t xml:space="preserve"> that the same cross-market effects that span different geographic markets may also span different product markets</w:t>
      </w:r>
      <w:r w:rsidR="0090011E">
        <w:t xml:space="preserve"> or sets of services offered by providers</w:t>
      </w:r>
      <w:r w:rsidRPr="003B6FAF">
        <w:t>.</w:t>
      </w:r>
      <w:r>
        <w:rPr>
          <w:rStyle w:val="FootnoteReference"/>
        </w:rPr>
        <w:footnoteReference w:id="9"/>
      </w:r>
      <w:r w:rsidRPr="003B6FAF">
        <w:t xml:space="preserve"> </w:t>
      </w:r>
      <w:r>
        <w:t xml:space="preserve"> The courts have shown skepticism toward cross-product market arguments, however.  The Ninth Circuit in </w:t>
      </w:r>
      <w:r w:rsidR="00E56309" w:rsidRPr="00E56309">
        <w:rPr>
          <w:i/>
        </w:rPr>
        <w:t xml:space="preserve">FTC v. </w:t>
      </w:r>
      <w:r w:rsidRPr="00E56309">
        <w:rPr>
          <w:i/>
        </w:rPr>
        <w:t>St. Luke’s</w:t>
      </w:r>
      <w:r>
        <w:t xml:space="preserve"> overturned the district court’s ruling that St. Luke’s market power in physician services gave it market power in ancillary services.</w:t>
      </w:r>
      <w:r w:rsidR="00E56309">
        <w:rPr>
          <w:rStyle w:val="FootnoteReference"/>
        </w:rPr>
        <w:footnoteReference w:id="10"/>
      </w:r>
      <w:r>
        <w:t xml:space="preserve">  Absent a finding of market power in ancillary services, the Ninth Circuit reasoned, St. Luke’s could not harm competition in that market.</w:t>
      </w:r>
      <w:r w:rsidRPr="00252306">
        <w:t xml:space="preserve"> </w:t>
      </w:r>
      <w:r w:rsidR="00290DB9">
        <w:t xml:space="preserve"> The logical extension for geographic markets is that a hospital system that does not possess market power in an antitrust geographic market cannot harm competition in that market.</w:t>
      </w:r>
    </w:p>
    <w:p w:rsidR="00772946" w:rsidRPr="00772946" w:rsidRDefault="004E4936" w:rsidP="00141A77">
      <w:pPr>
        <w:keepNext/>
        <w:spacing w:before="360" w:after="360"/>
        <w:rPr>
          <w:b/>
        </w:rPr>
      </w:pPr>
      <w:r>
        <w:rPr>
          <w:b/>
        </w:rPr>
        <w:t xml:space="preserve">Serious </w:t>
      </w:r>
      <w:r w:rsidR="003254DA">
        <w:rPr>
          <w:b/>
        </w:rPr>
        <w:t xml:space="preserve">Questions </w:t>
      </w:r>
      <w:r w:rsidR="007E2662">
        <w:rPr>
          <w:b/>
        </w:rPr>
        <w:t>a</w:t>
      </w:r>
      <w:r w:rsidR="005A6A3C">
        <w:rPr>
          <w:b/>
        </w:rPr>
        <w:t xml:space="preserve">bout the </w:t>
      </w:r>
      <w:r w:rsidR="00B313AE">
        <w:rPr>
          <w:b/>
        </w:rPr>
        <w:t>Theory and Estimation</w:t>
      </w:r>
      <w:r w:rsidR="003254DA">
        <w:rPr>
          <w:b/>
        </w:rPr>
        <w:t xml:space="preserve"> Process</w:t>
      </w:r>
    </w:p>
    <w:p w:rsidR="00772946" w:rsidRDefault="003254DA" w:rsidP="004412A7">
      <w:r>
        <w:t>S</w:t>
      </w:r>
      <w:r w:rsidR="004E4936">
        <w:t xml:space="preserve">erious </w:t>
      </w:r>
      <w:r>
        <w:t xml:space="preserve">questions arise </w:t>
      </w:r>
      <w:r w:rsidR="00D82F89">
        <w:t>regarding both DH&amp;L’s</w:t>
      </w:r>
      <w:r>
        <w:t xml:space="preserve"> model </w:t>
      </w:r>
      <w:r w:rsidR="00D82F89">
        <w:t>and</w:t>
      </w:r>
      <w:r>
        <w:t xml:space="preserve"> their empirical analysis.  </w:t>
      </w:r>
      <w:r w:rsidR="00D82F89">
        <w:t>One</w:t>
      </w:r>
      <w:r>
        <w:t xml:space="preserve"> iss</w:t>
      </w:r>
      <w:r w:rsidR="00D82F89">
        <w:t>ue is</w:t>
      </w:r>
      <w:r>
        <w:t xml:space="preserve"> whether their </w:t>
      </w:r>
      <w:r w:rsidRPr="00621EE7">
        <w:rPr>
          <w:b/>
        </w:rPr>
        <w:t>model confuses</w:t>
      </w:r>
      <w:r w:rsidR="00D82F89" w:rsidRPr="00621EE7">
        <w:rPr>
          <w:b/>
        </w:rPr>
        <w:t xml:space="preserve"> </w:t>
      </w:r>
      <w:r w:rsidR="00290DB9" w:rsidRPr="00621EE7">
        <w:rPr>
          <w:b/>
        </w:rPr>
        <w:t xml:space="preserve">key </w:t>
      </w:r>
      <w:r w:rsidR="00D82F89" w:rsidRPr="00621EE7">
        <w:rPr>
          <w:b/>
        </w:rPr>
        <w:t>considerations in</w:t>
      </w:r>
      <w:r w:rsidRPr="00621EE7">
        <w:rPr>
          <w:b/>
        </w:rPr>
        <w:t xml:space="preserve"> geographic market definition</w:t>
      </w:r>
      <w:r w:rsidR="00D82F89">
        <w:t xml:space="preserve">.  Another </w:t>
      </w:r>
      <w:r w:rsidR="00D82F89">
        <w:lastRenderedPageBreak/>
        <w:t>involves</w:t>
      </w:r>
      <w:r w:rsidR="004E4936">
        <w:t xml:space="preserve"> </w:t>
      </w:r>
      <w:r w:rsidR="004E4936">
        <w:rPr>
          <w:b/>
        </w:rPr>
        <w:t>the absence of considering</w:t>
      </w:r>
      <w:r w:rsidR="004E4936" w:rsidRPr="00621EE7">
        <w:rPr>
          <w:b/>
        </w:rPr>
        <w:t xml:space="preserve"> the</w:t>
      </w:r>
      <w:r w:rsidRPr="00621EE7">
        <w:rPr>
          <w:b/>
        </w:rPr>
        <w:t xml:space="preserve"> means by which health plans could avoid attempted cross-market price increases</w:t>
      </w:r>
      <w:r>
        <w:t xml:space="preserve">.  In addition, the </w:t>
      </w:r>
      <w:r w:rsidRPr="00621EE7">
        <w:rPr>
          <w:b/>
        </w:rPr>
        <w:t>data used to estimate the model do not include actual prices and are highly aggregated thus potentially obscuring important</w:t>
      </w:r>
      <w:r>
        <w:t xml:space="preserve"> </w:t>
      </w:r>
      <w:r w:rsidRPr="00621EE7">
        <w:rPr>
          <w:b/>
        </w:rPr>
        <w:t>differences among various payors</w:t>
      </w:r>
      <w:r>
        <w:t>.</w:t>
      </w:r>
      <w:r w:rsidR="0081761E">
        <w:t xml:space="preserve">  </w:t>
      </w:r>
      <w:r w:rsidR="00621EE7">
        <w:t>T</w:t>
      </w:r>
      <w:r w:rsidR="0081761E">
        <w:t>he empirical analysis</w:t>
      </w:r>
      <w:r w:rsidR="00621EE7">
        <w:t xml:space="preserve"> also appears </w:t>
      </w:r>
      <w:r w:rsidR="00621EE7" w:rsidRPr="00621EE7">
        <w:rPr>
          <w:b/>
        </w:rPr>
        <w:t>not to</w:t>
      </w:r>
      <w:r w:rsidR="00687A03">
        <w:rPr>
          <w:b/>
        </w:rPr>
        <w:t xml:space="preserve"> adequately distinguish</w:t>
      </w:r>
      <w:r w:rsidR="0081761E" w:rsidRPr="00621EE7">
        <w:rPr>
          <w:b/>
        </w:rPr>
        <w:t xml:space="preserve"> effects related to changes in competition from those that are not</w:t>
      </w:r>
      <w:r w:rsidR="0081761E">
        <w:t>.</w:t>
      </w:r>
    </w:p>
    <w:p w:rsidR="004E4936" w:rsidRPr="00621EE7" w:rsidRDefault="004E4936" w:rsidP="00141A77">
      <w:pPr>
        <w:keepNext/>
        <w:spacing w:before="360" w:after="360"/>
        <w:rPr>
          <w:b/>
        </w:rPr>
      </w:pPr>
      <w:r>
        <w:rPr>
          <w:b/>
        </w:rPr>
        <w:t>Geographic Market Too Restrictively Defined</w:t>
      </w:r>
    </w:p>
    <w:p w:rsidR="008B0797" w:rsidRDefault="00D82F89" w:rsidP="004412A7">
      <w:r>
        <w:t>According to</w:t>
      </w:r>
      <w:r w:rsidR="00116FBA">
        <w:t xml:space="preserve"> DH&amp;L</w:t>
      </w:r>
      <w:r>
        <w:t>’s theory</w:t>
      </w:r>
      <w:r w:rsidR="00116FBA">
        <w:t>, the</w:t>
      </w:r>
      <w:r w:rsidR="0032286C">
        <w:t xml:space="preserve"> Common Customer effect </w:t>
      </w:r>
      <w:r w:rsidR="00116FBA">
        <w:t xml:space="preserve">may arise when </w:t>
      </w:r>
      <w:r w:rsidR="0032286C">
        <w:t xml:space="preserve">employers have workers commuting from </w:t>
      </w:r>
      <w:r w:rsidR="00116FBA">
        <w:t xml:space="preserve">one geographic market to another.  </w:t>
      </w:r>
      <w:r w:rsidR="00D56818">
        <w:t>Such</w:t>
      </w:r>
      <w:r w:rsidR="00116FBA">
        <w:t xml:space="preserve"> commuting patterns </w:t>
      </w:r>
      <w:r>
        <w:t>likely</w:t>
      </w:r>
      <w:r w:rsidR="00116FBA">
        <w:t xml:space="preserve"> blur the boundaries of the </w:t>
      </w:r>
      <w:r w:rsidR="00D56818">
        <w:t xml:space="preserve">areas that DH&amp;L characterize as </w:t>
      </w:r>
      <w:r w:rsidR="00116FBA">
        <w:t>adjacent geographic markets</w:t>
      </w:r>
      <w:r w:rsidR="007D5EFD">
        <w:t>, especially since DH&amp;L define within-market transactions to include only hospitals within a 30-minute drive time of each other</w:t>
      </w:r>
      <w:r w:rsidR="0032286C">
        <w:t>.</w:t>
      </w:r>
      <w:r w:rsidR="007D5EFD">
        <w:rPr>
          <w:rStyle w:val="FootnoteReference"/>
        </w:rPr>
        <w:footnoteReference w:id="11"/>
      </w:r>
      <w:r w:rsidR="0032286C">
        <w:t xml:space="preserve">  </w:t>
      </w:r>
      <w:r w:rsidR="00F42CEB" w:rsidRPr="00F42CEB">
        <w:t>In healthcare mergers, a geographic market is typically defined by the boundary of the area to which patients would be willing to travel for services in the event of a small but significant price increase.</w:t>
      </w:r>
      <w:r w:rsidR="00F42CEB">
        <w:t xml:space="preserve">  </w:t>
      </w:r>
    </w:p>
    <w:p w:rsidR="00E83F6F" w:rsidRDefault="002F2D09" w:rsidP="004412A7">
      <w:r>
        <w:t>U</w:t>
      </w:r>
      <w:r w:rsidR="0032286C">
        <w:t xml:space="preserve">nder the </w:t>
      </w:r>
      <w:r w:rsidR="008B0797">
        <w:t xml:space="preserve">geographic market </w:t>
      </w:r>
      <w:r w:rsidR="0032286C">
        <w:t>approach laid out in the Guidelines, if a</w:t>
      </w:r>
      <w:r w:rsidR="00772946">
        <w:t xml:space="preserve">ll hospitals in area </w:t>
      </w:r>
      <w:proofErr w:type="spellStart"/>
      <w:r w:rsidR="00772946">
        <w:t>A</w:t>
      </w:r>
      <w:proofErr w:type="spellEnd"/>
      <w:r w:rsidR="00772946">
        <w:t xml:space="preserve"> increase</w:t>
      </w:r>
      <w:r w:rsidR="0032286C">
        <w:t xml:space="preserve"> their prices </w:t>
      </w:r>
      <w:r w:rsidR="00116FBA">
        <w:t xml:space="preserve">and enough </w:t>
      </w:r>
      <w:r w:rsidR="0032286C">
        <w:t xml:space="preserve">commuters </w:t>
      </w:r>
      <w:r w:rsidR="00116FBA">
        <w:t>switch from using hospitals in area A to hospitals in area B,</w:t>
      </w:r>
      <w:r w:rsidR="00772946">
        <w:t xml:space="preserve"> the hospitals in both areas combined rather than those in area A alone would</w:t>
      </w:r>
      <w:r w:rsidR="00116FBA">
        <w:t xml:space="preserve"> constitute a properly defined geographic market.  </w:t>
      </w:r>
      <w:r w:rsidR="0093336F">
        <w:t>If so, the cross-</w:t>
      </w:r>
      <w:r w:rsidR="0032286C">
        <w:t xml:space="preserve">market effects that DH&amp;L </w:t>
      </w:r>
      <w:r w:rsidR="00116FBA">
        <w:t xml:space="preserve">ascribe to the presence of common customers, </w:t>
      </w:r>
      <w:r w:rsidR="0032286C">
        <w:t xml:space="preserve">may </w:t>
      </w:r>
      <w:r w:rsidR="00116FBA">
        <w:t>be attributable to g</w:t>
      </w:r>
      <w:r w:rsidR="00772946">
        <w:t>eographic markets that a</w:t>
      </w:r>
      <w:r w:rsidR="00116FBA">
        <w:t>re too narrowly defined</w:t>
      </w:r>
      <w:r w:rsidR="00232579">
        <w:t xml:space="preserve">.  </w:t>
      </w:r>
      <w:r w:rsidR="00D56818">
        <w:t>With narrowly defined geographic areas</w:t>
      </w:r>
      <w:r w:rsidR="00232579">
        <w:t xml:space="preserve">, </w:t>
      </w:r>
      <w:r w:rsidR="00116FBA">
        <w:t xml:space="preserve">the </w:t>
      </w:r>
      <w:r w:rsidR="00D56818">
        <w:t>“markets”</w:t>
      </w:r>
      <w:r w:rsidR="00116FBA">
        <w:t xml:space="preserve"> that DH&amp;L consider to be adjacent </w:t>
      </w:r>
      <w:r w:rsidR="00232579">
        <w:t>could</w:t>
      </w:r>
      <w:r w:rsidR="007D5EFD">
        <w:t xml:space="preserve"> actually</w:t>
      </w:r>
      <w:r w:rsidR="00116FBA">
        <w:t xml:space="preserve"> </w:t>
      </w:r>
      <w:r w:rsidR="00232579">
        <w:t xml:space="preserve">be </w:t>
      </w:r>
      <w:r w:rsidR="00116FBA">
        <w:t xml:space="preserve">part of a single and broader </w:t>
      </w:r>
      <w:r w:rsidR="00232579">
        <w:t xml:space="preserve">geographic market and the pricing effects that </w:t>
      </w:r>
      <w:r w:rsidR="00196135">
        <w:t>DH&amp;L</w:t>
      </w:r>
      <w:r w:rsidR="00232579">
        <w:t xml:space="preserve"> attribute to cross</w:t>
      </w:r>
      <w:r w:rsidR="00196135">
        <w:t>-</w:t>
      </w:r>
      <w:r w:rsidR="00232579">
        <w:t xml:space="preserve">market effects may </w:t>
      </w:r>
      <w:r w:rsidR="00196135">
        <w:t>be</w:t>
      </w:r>
      <w:r w:rsidR="00232579">
        <w:t xml:space="preserve"> due to within-market effects.  </w:t>
      </w:r>
      <w:r w:rsidR="007D5EFD">
        <w:t xml:space="preserve">The narrow, 30-minute drive time geographic area that DH&amp;L use for </w:t>
      </w:r>
      <w:r w:rsidR="00232579">
        <w:t>within</w:t>
      </w:r>
      <w:r w:rsidR="00196135">
        <w:t>-</w:t>
      </w:r>
      <w:r w:rsidR="00232579">
        <w:t>market transactions</w:t>
      </w:r>
      <w:r w:rsidR="00F21D6D">
        <w:t xml:space="preserve"> raises the</w:t>
      </w:r>
      <w:r w:rsidR="00F62EB1">
        <w:t xml:space="preserve"> possibilit</w:t>
      </w:r>
      <w:r w:rsidR="0093336F">
        <w:t>y that their adjacent markets a</w:t>
      </w:r>
      <w:r w:rsidR="00F62EB1">
        <w:t xml:space="preserve">re defined too </w:t>
      </w:r>
      <w:r w:rsidR="00F21D6D">
        <w:t>restrictively</w:t>
      </w:r>
      <w:r w:rsidR="00F62EB1">
        <w:t>.</w:t>
      </w:r>
    </w:p>
    <w:p w:rsidR="004E4936" w:rsidRPr="00621EE7" w:rsidRDefault="004E4936" w:rsidP="00141A77">
      <w:pPr>
        <w:keepNext/>
        <w:spacing w:before="360" w:after="360"/>
        <w:rPr>
          <w:b/>
        </w:rPr>
      </w:pPr>
      <w:r>
        <w:rPr>
          <w:b/>
        </w:rPr>
        <w:t>Increase in Value</w:t>
      </w:r>
      <w:r w:rsidR="008C6ECF">
        <w:rPr>
          <w:b/>
        </w:rPr>
        <w:t xml:space="preserve"> Will Not Harm Competition</w:t>
      </w:r>
    </w:p>
    <w:p w:rsidR="00290DB9" w:rsidRDefault="0090011E" w:rsidP="004412A7">
      <w:pPr>
        <w:rPr>
          <w:b/>
        </w:rPr>
      </w:pPr>
      <w:r>
        <w:t>T</w:t>
      </w:r>
      <w:r w:rsidR="00290DB9">
        <w:t xml:space="preserve">he </w:t>
      </w:r>
      <w:r w:rsidR="00F638C0">
        <w:t>C</w:t>
      </w:r>
      <w:r w:rsidR="00290DB9">
        <w:t xml:space="preserve">ommon </w:t>
      </w:r>
      <w:r w:rsidR="00F638C0">
        <w:t>C</w:t>
      </w:r>
      <w:r w:rsidR="00290DB9">
        <w:t xml:space="preserve">ustomers framework </w:t>
      </w:r>
      <w:r>
        <w:t>can also be evaluated by ignoring</w:t>
      </w:r>
      <w:r w:rsidR="00290DB9">
        <w:t xml:space="preserve"> the patient</w:t>
      </w:r>
      <w:r>
        <w:t>s</w:t>
      </w:r>
      <w:r w:rsidR="00290DB9">
        <w:t xml:space="preserve"> consuming hospital services and focus</w:t>
      </w:r>
      <w:r>
        <w:t>ing</w:t>
      </w:r>
      <w:r w:rsidR="00290DB9">
        <w:t xml:space="preserve"> on employers as the common customers who arrange options for their employees to receive hospital services.</w:t>
      </w:r>
      <w:r w:rsidR="004F1566">
        <w:t xml:space="preserve">  </w:t>
      </w:r>
      <w:r>
        <w:t>From that perspective, it is easier to discern</w:t>
      </w:r>
      <w:r w:rsidR="005A6A3C">
        <w:t xml:space="preserve"> the</w:t>
      </w:r>
      <w:r w:rsidR="004F1566">
        <w:t xml:space="preserve"> incremental value of a hospital system over its component parts</w:t>
      </w:r>
      <w:r w:rsidR="008B0797">
        <w:t xml:space="preserve">.  The increased value of a system is a necessary </w:t>
      </w:r>
      <w:r w:rsidR="005A6A3C">
        <w:t>element</w:t>
      </w:r>
      <w:r w:rsidR="004F1566">
        <w:t xml:space="preserve"> for DH&amp;L to reach their conclusions</w:t>
      </w:r>
      <w:r w:rsidR="008B0797" w:rsidRPr="00621EE7">
        <w:rPr>
          <w:b/>
        </w:rPr>
        <w:t xml:space="preserve">, but </w:t>
      </w:r>
      <w:r w:rsidR="008F18E9" w:rsidRPr="00621EE7">
        <w:rPr>
          <w:b/>
        </w:rPr>
        <w:t>the incremental value</w:t>
      </w:r>
      <w:r w:rsidR="008B0797" w:rsidRPr="00621EE7">
        <w:rPr>
          <w:b/>
        </w:rPr>
        <w:t xml:space="preserve"> can be driven by efficiencies that benefit customers</w:t>
      </w:r>
      <w:r w:rsidR="004F1566">
        <w:t>.</w:t>
      </w:r>
      <w:r w:rsidR="00290DB9">
        <w:t xml:space="preserve"> </w:t>
      </w:r>
      <w:r w:rsidR="004F1566">
        <w:t xml:space="preserve"> M</w:t>
      </w:r>
      <w:r w:rsidR="00290DB9">
        <w:t xml:space="preserve">ulti-hospital systems bring value to </w:t>
      </w:r>
      <w:r w:rsidR="004F1566">
        <w:t xml:space="preserve">employers or insurers because they reduce transaction costs and possibly increase quality over what could be offered by their hospitals individually.  Transaction costs related to negotiating contracts, monitoring consistency of service, and administering claims are reduced through centralization.  </w:t>
      </w:r>
      <w:r w:rsidR="008B0797">
        <w:t xml:space="preserve">Likewise, quality </w:t>
      </w:r>
      <w:r w:rsidR="004F1566">
        <w:t xml:space="preserve">can be improved by standardizing and monitoring clinical </w:t>
      </w:r>
      <w:r w:rsidR="004F1566">
        <w:lastRenderedPageBreak/>
        <w:t xml:space="preserve">processes in a manner than cannot be done as readily across individual hospitals.  </w:t>
      </w:r>
      <w:r w:rsidR="004F1566" w:rsidRPr="00621EE7">
        <w:rPr>
          <w:b/>
        </w:rPr>
        <w:t>The increase in value from a system is consistent with DH&amp;L’s theory</w:t>
      </w:r>
      <w:r w:rsidR="005A6A3C" w:rsidRPr="00621EE7">
        <w:rPr>
          <w:b/>
        </w:rPr>
        <w:t>,</w:t>
      </w:r>
      <w:r w:rsidR="004F1566" w:rsidRPr="00621EE7">
        <w:rPr>
          <w:b/>
        </w:rPr>
        <w:t xml:space="preserve"> and it changes the system’s relative bargaining power</w:t>
      </w:r>
      <w:r w:rsidR="004B5E54" w:rsidRPr="00621EE7">
        <w:rPr>
          <w:b/>
        </w:rPr>
        <w:t>,</w:t>
      </w:r>
      <w:r w:rsidR="004F1566" w:rsidRPr="00621EE7">
        <w:rPr>
          <w:b/>
        </w:rPr>
        <w:t xml:space="preserve"> but it does not create harm to competition.</w:t>
      </w:r>
      <w:r w:rsidR="004B5E54" w:rsidRPr="00621EE7">
        <w:rPr>
          <w:rStyle w:val="FootnoteReference"/>
        </w:rPr>
        <w:footnoteReference w:id="12"/>
      </w:r>
      <w:r w:rsidR="00F638C0" w:rsidRPr="00621EE7">
        <w:rPr>
          <w:b/>
        </w:rPr>
        <w:t xml:space="preserve">  If these types of system efficiencies are more likely to be present and to be of value to a common customer when the hospitals are located in adjacent areas, a pricing differential may arise between adjacent and non-adjacent transactions.</w:t>
      </w:r>
    </w:p>
    <w:p w:rsidR="004E4936" w:rsidRPr="00621EE7" w:rsidRDefault="007E2662" w:rsidP="00621EE7">
      <w:pPr>
        <w:spacing w:before="360" w:after="360"/>
        <w:rPr>
          <w:b/>
        </w:rPr>
      </w:pPr>
      <w:r>
        <w:rPr>
          <w:b/>
        </w:rPr>
        <w:t xml:space="preserve">Ability to Replace Hospitals </w:t>
      </w:r>
      <w:r w:rsidR="00DD5BF5">
        <w:rPr>
          <w:b/>
        </w:rPr>
        <w:t>Discounted</w:t>
      </w:r>
    </w:p>
    <w:p w:rsidR="007B10BB" w:rsidRPr="00983F3E" w:rsidRDefault="0093336F" w:rsidP="007B10BB">
      <w:pPr>
        <w:rPr>
          <w:b/>
        </w:rPr>
      </w:pPr>
      <w:r>
        <w:rPr>
          <w:rFonts w:eastAsia="Times New Roman" w:cs="Times New Roman"/>
          <w:bCs/>
          <w:iCs/>
          <w:szCs w:val="24"/>
        </w:rPr>
        <w:t xml:space="preserve">DH&amp;L’s theory </w:t>
      </w:r>
      <w:r w:rsidR="00C74B08">
        <w:rPr>
          <w:rFonts w:eastAsia="Times New Roman" w:cs="Times New Roman"/>
          <w:bCs/>
          <w:iCs/>
          <w:szCs w:val="24"/>
        </w:rPr>
        <w:t>does not address</w:t>
      </w:r>
      <w:r>
        <w:rPr>
          <w:rFonts w:eastAsia="Times New Roman" w:cs="Times New Roman"/>
          <w:bCs/>
          <w:iCs/>
          <w:szCs w:val="24"/>
        </w:rPr>
        <w:t xml:space="preserve"> some </w:t>
      </w:r>
      <w:r w:rsidR="004F1566">
        <w:rPr>
          <w:rFonts w:eastAsia="Times New Roman" w:cs="Times New Roman"/>
          <w:bCs/>
          <w:iCs/>
          <w:szCs w:val="24"/>
        </w:rPr>
        <w:t xml:space="preserve">other </w:t>
      </w:r>
      <w:r>
        <w:rPr>
          <w:rFonts w:eastAsia="Times New Roman" w:cs="Times New Roman"/>
          <w:bCs/>
          <w:iCs/>
          <w:szCs w:val="24"/>
        </w:rPr>
        <w:t xml:space="preserve">implications of health plans’ ability to substitute hospitals in </w:t>
      </w:r>
      <w:r w:rsidR="00C74B08">
        <w:rPr>
          <w:rFonts w:eastAsia="Times New Roman" w:cs="Times New Roman"/>
          <w:bCs/>
          <w:iCs/>
          <w:szCs w:val="24"/>
        </w:rPr>
        <w:t>local</w:t>
      </w:r>
      <w:r>
        <w:rPr>
          <w:rFonts w:eastAsia="Times New Roman" w:cs="Times New Roman"/>
          <w:bCs/>
          <w:iCs/>
          <w:szCs w:val="24"/>
        </w:rPr>
        <w:t xml:space="preserve"> geographic markets</w:t>
      </w:r>
      <w:r w:rsidR="00C74B08" w:rsidRPr="00C74B08">
        <w:rPr>
          <w:rFonts w:eastAsia="Times New Roman" w:cs="Times New Roman"/>
          <w:bCs/>
          <w:iCs/>
          <w:szCs w:val="24"/>
        </w:rPr>
        <w:t xml:space="preserve"> </w:t>
      </w:r>
      <w:r w:rsidR="00C74B08">
        <w:rPr>
          <w:rFonts w:eastAsia="Times New Roman" w:cs="Times New Roman"/>
          <w:bCs/>
          <w:iCs/>
          <w:szCs w:val="24"/>
        </w:rPr>
        <w:t>prior to a cross-market merger</w:t>
      </w:r>
      <w:r>
        <w:rPr>
          <w:rFonts w:eastAsia="Times New Roman" w:cs="Times New Roman"/>
          <w:bCs/>
          <w:iCs/>
          <w:szCs w:val="24"/>
        </w:rPr>
        <w:t>.</w:t>
      </w:r>
      <w:r w:rsidR="00C74B08">
        <w:rPr>
          <w:rFonts w:eastAsia="Times New Roman" w:cs="Times New Roman"/>
          <w:bCs/>
          <w:iCs/>
          <w:szCs w:val="24"/>
        </w:rPr>
        <w:t xml:space="preserve">  The cross-market</w:t>
      </w:r>
      <w:r>
        <w:rPr>
          <w:rFonts w:eastAsia="Times New Roman" w:cs="Times New Roman"/>
          <w:bCs/>
          <w:iCs/>
          <w:szCs w:val="24"/>
        </w:rPr>
        <w:t xml:space="preserve"> theory </w:t>
      </w:r>
      <w:r w:rsidR="00C74B08">
        <w:rPr>
          <w:rFonts w:eastAsia="Times New Roman" w:cs="Times New Roman"/>
          <w:bCs/>
          <w:iCs/>
          <w:szCs w:val="24"/>
        </w:rPr>
        <w:t>does not require</w:t>
      </w:r>
      <w:r>
        <w:rPr>
          <w:rFonts w:eastAsia="Times New Roman" w:cs="Times New Roman"/>
          <w:bCs/>
          <w:iCs/>
          <w:szCs w:val="24"/>
        </w:rPr>
        <w:t xml:space="preserve"> </w:t>
      </w:r>
      <w:r w:rsidR="007B10BB" w:rsidRPr="004412A7">
        <w:rPr>
          <w:rFonts w:eastAsia="Times New Roman" w:cs="Times New Roman"/>
          <w:bCs/>
          <w:iCs/>
          <w:szCs w:val="24"/>
        </w:rPr>
        <w:t>any individual hospital</w:t>
      </w:r>
      <w:r w:rsidR="00C74B08">
        <w:rPr>
          <w:rFonts w:eastAsia="Times New Roman" w:cs="Times New Roman"/>
          <w:bCs/>
          <w:iCs/>
          <w:szCs w:val="24"/>
        </w:rPr>
        <w:t xml:space="preserve"> </w:t>
      </w:r>
      <w:r w:rsidR="007B10BB" w:rsidRPr="004412A7">
        <w:rPr>
          <w:rFonts w:eastAsia="Times New Roman" w:cs="Times New Roman"/>
          <w:bCs/>
          <w:iCs/>
          <w:szCs w:val="24"/>
        </w:rPr>
        <w:t>to possess market power in its local hospital market</w:t>
      </w:r>
      <w:r w:rsidR="00983F3E">
        <w:rPr>
          <w:rFonts w:eastAsia="Times New Roman" w:cs="Times New Roman"/>
          <w:bCs/>
          <w:iCs/>
          <w:szCs w:val="24"/>
        </w:rPr>
        <w:t xml:space="preserve"> prior to the merger</w:t>
      </w:r>
      <w:r w:rsidR="007B10BB" w:rsidRPr="004412A7">
        <w:rPr>
          <w:rFonts w:eastAsia="Times New Roman" w:cs="Times New Roman"/>
          <w:bCs/>
          <w:iCs/>
          <w:szCs w:val="24"/>
        </w:rPr>
        <w:t xml:space="preserve"> in order for </w:t>
      </w:r>
      <w:r w:rsidR="00C74B08">
        <w:rPr>
          <w:rFonts w:eastAsia="Times New Roman" w:cs="Times New Roman"/>
          <w:bCs/>
          <w:iCs/>
          <w:szCs w:val="24"/>
        </w:rPr>
        <w:t>a cross-market</w:t>
      </w:r>
      <w:r w:rsidR="007B10BB" w:rsidRPr="004412A7">
        <w:rPr>
          <w:rFonts w:eastAsia="Times New Roman" w:cs="Times New Roman"/>
          <w:bCs/>
          <w:iCs/>
          <w:szCs w:val="24"/>
        </w:rPr>
        <w:t xml:space="preserve"> </w:t>
      </w:r>
      <w:r>
        <w:rPr>
          <w:rFonts w:eastAsia="Times New Roman" w:cs="Times New Roman"/>
          <w:bCs/>
          <w:iCs/>
          <w:szCs w:val="24"/>
        </w:rPr>
        <w:t>merger to create</w:t>
      </w:r>
      <w:r w:rsidR="007B10BB" w:rsidRPr="004412A7">
        <w:rPr>
          <w:rFonts w:eastAsia="Times New Roman" w:cs="Times New Roman"/>
          <w:bCs/>
          <w:iCs/>
          <w:szCs w:val="24"/>
        </w:rPr>
        <w:t xml:space="preserve"> market power.  </w:t>
      </w:r>
      <w:r>
        <w:rPr>
          <w:rFonts w:eastAsia="Times New Roman" w:cs="Times New Roman"/>
          <w:bCs/>
          <w:iCs/>
          <w:szCs w:val="24"/>
        </w:rPr>
        <w:t>T</w:t>
      </w:r>
      <w:r w:rsidR="007B10BB" w:rsidRPr="004412A7">
        <w:rPr>
          <w:rFonts w:eastAsia="Times New Roman" w:cs="Times New Roman"/>
          <w:bCs/>
          <w:iCs/>
          <w:szCs w:val="24"/>
        </w:rPr>
        <w:t xml:space="preserve">he extent to which there are substitutes </w:t>
      </w:r>
      <w:r w:rsidR="007B10BB" w:rsidRPr="0093336F">
        <w:rPr>
          <w:rFonts w:eastAsia="Times New Roman" w:cs="Times New Roman"/>
          <w:bCs/>
          <w:iCs/>
          <w:szCs w:val="24"/>
        </w:rPr>
        <w:t>within</w:t>
      </w:r>
      <w:r w:rsidR="007B10BB" w:rsidRPr="004412A7">
        <w:rPr>
          <w:rFonts w:eastAsia="Times New Roman" w:cs="Times New Roman"/>
          <w:bCs/>
          <w:iCs/>
          <w:szCs w:val="24"/>
        </w:rPr>
        <w:t xml:space="preserve"> each market is, by construction, irrelevant to the cross-market effect.</w:t>
      </w:r>
      <w:r w:rsidR="007B10BB">
        <w:rPr>
          <w:rFonts w:eastAsia="Times New Roman" w:cs="Times New Roman"/>
          <w:bCs/>
          <w:iCs/>
          <w:szCs w:val="24"/>
        </w:rPr>
        <w:t xml:space="preserve">  </w:t>
      </w:r>
      <w:r w:rsidR="007B10BB" w:rsidRPr="004412A7">
        <w:rPr>
          <w:rFonts w:eastAsia="Times New Roman" w:cs="Times New Roman"/>
          <w:bCs/>
          <w:iCs/>
          <w:szCs w:val="24"/>
        </w:rPr>
        <w:t xml:space="preserve">Rather, </w:t>
      </w:r>
      <w:r w:rsidR="00C74B08">
        <w:rPr>
          <w:rFonts w:eastAsia="Times New Roman" w:cs="Times New Roman"/>
          <w:bCs/>
          <w:iCs/>
          <w:szCs w:val="24"/>
        </w:rPr>
        <w:t>the theory predicts competitive danger arising</w:t>
      </w:r>
      <w:r w:rsidR="007B10BB" w:rsidRPr="004412A7">
        <w:rPr>
          <w:rFonts w:eastAsia="Times New Roman" w:cs="Times New Roman"/>
          <w:bCs/>
          <w:iCs/>
          <w:szCs w:val="24"/>
        </w:rPr>
        <w:t xml:space="preserve"> from merging hospitals that, through cross-market linkages, </w:t>
      </w:r>
      <w:r>
        <w:rPr>
          <w:rFonts w:eastAsia="Times New Roman" w:cs="Times New Roman"/>
          <w:bCs/>
          <w:iCs/>
          <w:szCs w:val="24"/>
        </w:rPr>
        <w:t>gain</w:t>
      </w:r>
      <w:r w:rsidR="007B10BB" w:rsidRPr="004412A7">
        <w:rPr>
          <w:rFonts w:eastAsia="Times New Roman" w:cs="Times New Roman"/>
          <w:bCs/>
          <w:iCs/>
          <w:szCs w:val="24"/>
        </w:rPr>
        <w:t xml:space="preserve"> incremental market power over customers</w:t>
      </w:r>
      <w:r w:rsidR="004F1566">
        <w:rPr>
          <w:rFonts w:eastAsia="Times New Roman" w:cs="Times New Roman"/>
          <w:bCs/>
          <w:iCs/>
          <w:szCs w:val="24"/>
        </w:rPr>
        <w:t xml:space="preserve"> who purchase in multiple markets simultaneously</w:t>
      </w:r>
      <w:r w:rsidR="007B10BB" w:rsidRPr="004412A7">
        <w:rPr>
          <w:rFonts w:eastAsia="Times New Roman" w:cs="Times New Roman"/>
          <w:bCs/>
          <w:iCs/>
          <w:szCs w:val="24"/>
        </w:rPr>
        <w:t>.</w:t>
      </w:r>
      <w:r w:rsidR="007B10BB" w:rsidRPr="00191602">
        <w:rPr>
          <w:rFonts w:eastAsia="Times New Roman" w:cs="Times New Roman"/>
          <w:bCs/>
          <w:iCs/>
          <w:szCs w:val="24"/>
        </w:rPr>
        <w:t xml:space="preserve"> </w:t>
      </w:r>
      <w:r w:rsidR="00983F3E">
        <w:t xml:space="preserve"> </w:t>
      </w:r>
      <w:r w:rsidR="00983F3E" w:rsidRPr="00621EE7">
        <w:rPr>
          <w:b/>
        </w:rPr>
        <w:t xml:space="preserve">Yet if a health plan </w:t>
      </w:r>
      <w:r w:rsidR="00C74B08" w:rsidRPr="00621EE7">
        <w:rPr>
          <w:b/>
        </w:rPr>
        <w:t xml:space="preserve">could </w:t>
      </w:r>
      <w:r w:rsidR="00983F3E" w:rsidRPr="00621EE7">
        <w:rPr>
          <w:b/>
        </w:rPr>
        <w:t xml:space="preserve">replace the individual hospitals in its network for each market in the pre-merger world, it </w:t>
      </w:r>
      <w:r w:rsidR="004B5E54" w:rsidRPr="00621EE7">
        <w:rPr>
          <w:b/>
        </w:rPr>
        <w:t xml:space="preserve">stands to reason that it </w:t>
      </w:r>
      <w:r w:rsidR="00983F3E" w:rsidRPr="00621EE7">
        <w:rPr>
          <w:b/>
        </w:rPr>
        <w:t xml:space="preserve">could </w:t>
      </w:r>
      <w:r w:rsidR="00C74B08" w:rsidRPr="00621EE7">
        <w:rPr>
          <w:b/>
        </w:rPr>
        <w:t xml:space="preserve">replace the merged hospitals in each market </w:t>
      </w:r>
      <w:r w:rsidR="00983F3E" w:rsidRPr="00621EE7">
        <w:rPr>
          <w:b/>
        </w:rPr>
        <w:t>just as readily.  In that context, the merged hospitals</w:t>
      </w:r>
      <w:r w:rsidR="007B10BB" w:rsidRPr="00621EE7">
        <w:rPr>
          <w:b/>
        </w:rPr>
        <w:t xml:space="preserve"> could not acquire market power due to</w:t>
      </w:r>
      <w:r w:rsidR="00C74B08" w:rsidRPr="00621EE7">
        <w:rPr>
          <w:b/>
        </w:rPr>
        <w:t xml:space="preserve"> cross-market effects</w:t>
      </w:r>
      <w:r w:rsidR="007B10BB">
        <w:t>.</w:t>
      </w:r>
      <w:r w:rsidR="007B10BB">
        <w:rPr>
          <w:rStyle w:val="FootnoteReference"/>
        </w:rPr>
        <w:footnoteReference w:id="13"/>
      </w:r>
      <w:r w:rsidR="007B10BB">
        <w:t xml:space="preserve"> </w:t>
      </w:r>
      <w:r w:rsidR="00564CE8">
        <w:t xml:space="preserve"> </w:t>
      </w:r>
      <w:r w:rsidR="004B5E54">
        <w:t xml:space="preserve">If the merged entity creates efficiencies that are beneficial to the payor, it would be </w:t>
      </w:r>
      <w:r w:rsidR="008B0797">
        <w:t xml:space="preserve">more costly </w:t>
      </w:r>
      <w:r w:rsidR="004B5E54">
        <w:t xml:space="preserve">to replace the merged entity </w:t>
      </w:r>
      <w:r w:rsidR="008B0797">
        <w:t>than to replace</w:t>
      </w:r>
      <w:r w:rsidR="004B5E54">
        <w:t xml:space="preserve"> each individual hospital, but that would not </w:t>
      </w:r>
      <w:r w:rsidR="008B0797">
        <w:t xml:space="preserve">lead to </w:t>
      </w:r>
      <w:r w:rsidR="004B5E54">
        <w:t>antitrust harm.</w:t>
      </w:r>
    </w:p>
    <w:p w:rsidR="00A7056D" w:rsidRDefault="007B10BB" w:rsidP="00F62EB1">
      <w:pPr>
        <w:rPr>
          <w:rFonts w:eastAsia="Times New Roman" w:cs="Times New Roman"/>
          <w:bCs/>
          <w:iCs/>
          <w:szCs w:val="24"/>
        </w:rPr>
      </w:pPr>
      <w:r>
        <w:t>In a similar vein, cross-market employers can avoid competitive harm if they can act like single-market purchasers</w:t>
      </w:r>
      <w:r w:rsidR="00F62EB1">
        <w:t>.</w:t>
      </w:r>
      <w:r w:rsidR="002F2D09">
        <w:rPr>
          <w:rStyle w:val="FootnoteReference"/>
        </w:rPr>
        <w:footnoteReference w:id="14"/>
      </w:r>
      <w:r w:rsidR="00F62EB1">
        <w:t xml:space="preserve">  </w:t>
      </w:r>
      <w:r w:rsidR="00A7056D" w:rsidRPr="003B6FAF">
        <w:t>Notably, purchasers that do not require hospital services in both markets simultaneously (i.e., single-market health plans or employers) are not subject to the exercise of whatever market power is created by</w:t>
      </w:r>
      <w:r>
        <w:t xml:space="preserve"> a</w:t>
      </w:r>
      <w:r w:rsidR="00A7056D" w:rsidRPr="003B6FAF">
        <w:t xml:space="preserve"> cross-market </w:t>
      </w:r>
      <w:r>
        <w:t>merger</w:t>
      </w:r>
      <w:r w:rsidR="00A7056D" w:rsidRPr="003B6FAF">
        <w:t xml:space="preserve">.  </w:t>
      </w:r>
      <w:r w:rsidR="00983F3E">
        <w:t>There are no cross-market linkages for these purchasers that could be exploited by the merged hospitals.</w:t>
      </w:r>
      <w:r w:rsidR="00A7056D" w:rsidRPr="003B6FAF">
        <w:t xml:space="preserve">  </w:t>
      </w:r>
      <w:r w:rsidR="00983F3E">
        <w:t>H</w:t>
      </w:r>
      <w:r w:rsidR="00196135">
        <w:t>ealth plans</w:t>
      </w:r>
      <w:r w:rsidR="00F62EB1">
        <w:t xml:space="preserve"> could act </w:t>
      </w:r>
      <w:r>
        <w:t>like single-market purchasers</w:t>
      </w:r>
      <w:r w:rsidR="00F62EB1">
        <w:t xml:space="preserve"> </w:t>
      </w:r>
      <w:r w:rsidR="002F2D09">
        <w:t>if they sold</w:t>
      </w:r>
      <w:r w:rsidR="00A7056D" w:rsidRPr="004412A7">
        <w:rPr>
          <w:rFonts w:eastAsia="Times New Roman" w:cs="Times New Roman"/>
          <w:bCs/>
          <w:iCs/>
          <w:szCs w:val="24"/>
        </w:rPr>
        <w:t xml:space="preserve"> separate products with local networks for each local market.  Employers with employees in each market could offer single-market options to each set of employees.  As long as employers acquire health insurance through a health plan rather than purchasing services directly from the hospital</w:t>
      </w:r>
      <w:r>
        <w:rPr>
          <w:rFonts w:eastAsia="Times New Roman" w:cs="Times New Roman"/>
          <w:bCs/>
          <w:iCs/>
          <w:szCs w:val="24"/>
        </w:rPr>
        <w:t xml:space="preserve"> system</w:t>
      </w:r>
      <w:r w:rsidR="00A7056D" w:rsidRPr="004412A7">
        <w:rPr>
          <w:rFonts w:eastAsia="Times New Roman" w:cs="Times New Roman"/>
          <w:bCs/>
          <w:iCs/>
          <w:szCs w:val="24"/>
        </w:rPr>
        <w:t>, the system would not be able to identify cross-market employers and price discriminate against them.  If the hospital system attempted to raise rates above competitive levels in each local market, it would lose customers in the traditional way</w:t>
      </w:r>
      <w:r w:rsidR="004F1566">
        <w:rPr>
          <w:rFonts w:eastAsia="Times New Roman" w:cs="Times New Roman"/>
          <w:bCs/>
          <w:iCs/>
          <w:szCs w:val="24"/>
        </w:rPr>
        <w:t>:</w:t>
      </w:r>
      <w:r w:rsidR="00A7056D" w:rsidRPr="004412A7">
        <w:rPr>
          <w:rFonts w:eastAsia="Times New Roman" w:cs="Times New Roman"/>
          <w:bCs/>
          <w:iCs/>
          <w:szCs w:val="24"/>
        </w:rPr>
        <w:t xml:space="preserve"> customers would switch to lower-cost substitutes in the local markets. </w:t>
      </w:r>
    </w:p>
    <w:p w:rsidR="007E2662" w:rsidRPr="00621EE7" w:rsidRDefault="008C6ECF" w:rsidP="00621EE7">
      <w:pPr>
        <w:keepNext/>
        <w:spacing w:before="360" w:after="360"/>
        <w:rPr>
          <w:rFonts w:eastAsia="Times New Roman" w:cs="Times New Roman"/>
          <w:b/>
          <w:bCs/>
          <w:iCs/>
          <w:szCs w:val="24"/>
        </w:rPr>
      </w:pPr>
      <w:r>
        <w:rPr>
          <w:rFonts w:eastAsia="Times New Roman" w:cs="Times New Roman"/>
          <w:b/>
          <w:bCs/>
          <w:iCs/>
          <w:szCs w:val="24"/>
        </w:rPr>
        <w:lastRenderedPageBreak/>
        <w:t xml:space="preserve">Improvements in </w:t>
      </w:r>
      <w:r w:rsidR="007E2662">
        <w:rPr>
          <w:rFonts w:eastAsia="Times New Roman" w:cs="Times New Roman"/>
          <w:b/>
          <w:bCs/>
          <w:iCs/>
          <w:szCs w:val="24"/>
        </w:rPr>
        <w:t>Quality</w:t>
      </w:r>
      <w:r>
        <w:rPr>
          <w:rFonts w:eastAsia="Times New Roman" w:cs="Times New Roman"/>
          <w:b/>
          <w:bCs/>
          <w:iCs/>
          <w:szCs w:val="24"/>
        </w:rPr>
        <w:t>,</w:t>
      </w:r>
      <w:r w:rsidR="007E2662">
        <w:rPr>
          <w:rFonts w:eastAsia="Times New Roman" w:cs="Times New Roman"/>
          <w:b/>
          <w:bCs/>
          <w:iCs/>
          <w:szCs w:val="24"/>
        </w:rPr>
        <w:t xml:space="preserve"> Capital </w:t>
      </w:r>
      <w:r>
        <w:rPr>
          <w:rFonts w:eastAsia="Times New Roman" w:cs="Times New Roman"/>
          <w:b/>
          <w:bCs/>
          <w:iCs/>
          <w:szCs w:val="24"/>
        </w:rPr>
        <w:t>Investments</w:t>
      </w:r>
      <w:r w:rsidRPr="008C6ECF">
        <w:rPr>
          <w:rFonts w:eastAsia="Times New Roman" w:cs="Times New Roman"/>
          <w:b/>
          <w:bCs/>
          <w:iCs/>
          <w:szCs w:val="24"/>
        </w:rPr>
        <w:t xml:space="preserve"> </w:t>
      </w:r>
      <w:r>
        <w:rPr>
          <w:rFonts w:eastAsia="Times New Roman" w:cs="Times New Roman"/>
          <w:b/>
          <w:bCs/>
          <w:iCs/>
          <w:szCs w:val="24"/>
        </w:rPr>
        <w:t>and Value of System Membership Not Accounted For</w:t>
      </w:r>
    </w:p>
    <w:p w:rsidR="00AE02DF" w:rsidRDefault="00F747D4" w:rsidP="004412A7">
      <w:r>
        <w:t>DH&amp;L</w:t>
      </w:r>
      <w:r w:rsidR="00AE0C43">
        <w:t>’s</w:t>
      </w:r>
      <w:r>
        <w:t xml:space="preserve"> empirical </w:t>
      </w:r>
      <w:r w:rsidR="00AE0C43">
        <w:t>analysis also relies</w:t>
      </w:r>
      <w:r>
        <w:t xml:space="preserve"> on some assumptions </w:t>
      </w:r>
      <w:r w:rsidR="00515838">
        <w:t>that</w:t>
      </w:r>
      <w:r w:rsidR="00AE0C43">
        <w:t xml:space="preserve"> may bias the</w:t>
      </w:r>
      <w:r>
        <w:t xml:space="preserve"> findings. </w:t>
      </w:r>
      <w:r w:rsidR="00AE0C43">
        <w:t xml:space="preserve"> </w:t>
      </w:r>
      <w:r w:rsidR="00AE0C43" w:rsidRPr="00621EE7">
        <w:rPr>
          <w:b/>
        </w:rPr>
        <w:t>One</w:t>
      </w:r>
      <w:r w:rsidR="00783486" w:rsidRPr="00621EE7">
        <w:rPr>
          <w:b/>
        </w:rPr>
        <w:t xml:space="preserve"> source of upward bias in the</w:t>
      </w:r>
      <w:r w:rsidR="00AE0C43" w:rsidRPr="00621EE7">
        <w:rPr>
          <w:b/>
        </w:rPr>
        <w:t xml:space="preserve"> price estimates</w:t>
      </w:r>
      <w:r w:rsidR="00783486" w:rsidRPr="00621EE7">
        <w:rPr>
          <w:b/>
        </w:rPr>
        <w:t xml:space="preserve"> may arise from capital </w:t>
      </w:r>
      <w:r w:rsidR="008C6ECF">
        <w:rPr>
          <w:b/>
        </w:rPr>
        <w:t xml:space="preserve">investments </w:t>
      </w:r>
      <w:r w:rsidR="00783486" w:rsidRPr="00621EE7">
        <w:rPr>
          <w:b/>
        </w:rPr>
        <w:t>and quality improvements at the acquired hospitals.</w:t>
      </w:r>
      <w:r w:rsidR="00AE02DF">
        <w:t xml:space="preserve">  </w:t>
      </w:r>
      <w:r w:rsidR="00AE02DF" w:rsidRPr="00621EE7">
        <w:rPr>
          <w:b/>
        </w:rPr>
        <w:t>It is common for systems to invest significantly to improve quality at newly acquired hospitals</w:t>
      </w:r>
      <w:r w:rsidR="00AE02DF">
        <w:t xml:space="preserve">.  In the Scranton, Pennsylvania area, for example, </w:t>
      </w:r>
      <w:proofErr w:type="spellStart"/>
      <w:r w:rsidR="00AE02DF">
        <w:t>Geisinger</w:t>
      </w:r>
      <w:proofErr w:type="spellEnd"/>
      <w:r w:rsidR="00AE02DF">
        <w:t xml:space="preserve"> Health System and Community Health System</w:t>
      </w:r>
      <w:r w:rsidR="008B0797">
        <w:t xml:space="preserve"> reportedly</w:t>
      </w:r>
      <w:r w:rsidR="00AE02DF">
        <w:t xml:space="preserve"> invested hundreds of millions of dollars in their newly acquired hospitals which has resulted in increased quality and access to care.</w:t>
      </w:r>
      <w:r w:rsidR="000E274D">
        <w:rPr>
          <w:rStyle w:val="FootnoteReference"/>
        </w:rPr>
        <w:footnoteReference w:id="15"/>
      </w:r>
      <w:r w:rsidR="00783486">
        <w:t xml:space="preserve">  If systems tend to initiate these types of improvements </w:t>
      </w:r>
      <w:r w:rsidR="00AE02DF">
        <w:t>at</w:t>
      </w:r>
      <w:r w:rsidR="00783486">
        <w:t xml:space="preserve"> hospitals in adjacent markets</w:t>
      </w:r>
      <w:r w:rsidR="00AE0C43">
        <w:t xml:space="preserve"> before those in non-adjacent markets</w:t>
      </w:r>
      <w:r w:rsidR="00783486">
        <w:t>, possibly due to economies of scale and scope, pricing changes may be higher for hospitals in adjacent areas relative to those in non-adjacent areas.</w:t>
      </w:r>
      <w:r w:rsidR="00AE02DF">
        <w:t xml:space="preserve"> (Both </w:t>
      </w:r>
      <w:proofErr w:type="spellStart"/>
      <w:r w:rsidR="00AE02DF">
        <w:t>Geisinger</w:t>
      </w:r>
      <w:proofErr w:type="spellEnd"/>
      <w:r w:rsidR="00AE02DF">
        <w:t xml:space="preserve"> and CHS have hospitals in adjacent markets in Pennsylvania.)</w:t>
      </w:r>
      <w:r w:rsidR="00783486">
        <w:t xml:space="preserve">  </w:t>
      </w:r>
      <w:r w:rsidR="008B0797">
        <w:t xml:space="preserve">Importantly, </w:t>
      </w:r>
      <w:r w:rsidR="004B5E54">
        <w:t xml:space="preserve">DH&amp;L find that prices rise in non-adjacent markets as well after a time delay, and the difference between </w:t>
      </w:r>
      <w:r w:rsidR="008B0797">
        <w:t xml:space="preserve">adjacent and non-adjacent price increases </w:t>
      </w:r>
      <w:r w:rsidR="004B5E54">
        <w:t>is not statistically significant.</w:t>
      </w:r>
    </w:p>
    <w:p w:rsidR="008B0797" w:rsidRDefault="00AE02DF" w:rsidP="004412A7">
      <w:r>
        <w:t>Other factors may also drive</w:t>
      </w:r>
      <w:r w:rsidR="006670FC">
        <w:t xml:space="preserve"> differential</w:t>
      </w:r>
      <w:r>
        <w:t xml:space="preserve"> pricing at newly acquired hospitals, as </w:t>
      </w:r>
      <w:r w:rsidR="003C79B3">
        <w:t>DH&amp;L recognize</w:t>
      </w:r>
      <w:r>
        <w:t>.  Among these</w:t>
      </w:r>
      <w:r w:rsidR="003C79B3">
        <w:t xml:space="preserve"> other unobservable factors </w:t>
      </w:r>
      <w:r>
        <w:t>are</w:t>
      </w:r>
      <w:r w:rsidR="003C79B3">
        <w:t xml:space="preserve"> </w:t>
      </w:r>
      <w:r>
        <w:rPr>
          <w:rFonts w:eastAsia="Times New Roman" w:cs="Times New Roman"/>
          <w:bCs/>
          <w:szCs w:val="24"/>
        </w:rPr>
        <w:t>increased</w:t>
      </w:r>
      <w:r w:rsidRPr="004412A7">
        <w:rPr>
          <w:rFonts w:eastAsia="Times New Roman" w:cs="Times New Roman"/>
          <w:bCs/>
          <w:szCs w:val="24"/>
        </w:rPr>
        <w:t xml:space="preserve"> bargaining </w:t>
      </w:r>
      <w:r w:rsidR="007E2662">
        <w:rPr>
          <w:rFonts w:eastAsia="Times New Roman" w:cs="Times New Roman"/>
          <w:bCs/>
          <w:szCs w:val="24"/>
        </w:rPr>
        <w:t xml:space="preserve">skill </w:t>
      </w:r>
      <w:r>
        <w:rPr>
          <w:rFonts w:eastAsia="Times New Roman" w:cs="Times New Roman"/>
          <w:bCs/>
          <w:szCs w:val="24"/>
        </w:rPr>
        <w:t>attributable to system</w:t>
      </w:r>
      <w:r w:rsidR="004F1566">
        <w:rPr>
          <w:rFonts w:eastAsia="Times New Roman" w:cs="Times New Roman"/>
          <w:bCs/>
          <w:szCs w:val="24"/>
        </w:rPr>
        <w:t>-</w:t>
      </w:r>
      <w:r>
        <w:rPr>
          <w:rFonts w:eastAsia="Times New Roman" w:cs="Times New Roman"/>
          <w:bCs/>
          <w:szCs w:val="24"/>
        </w:rPr>
        <w:t>wide</w:t>
      </w:r>
      <w:r w:rsidRPr="004412A7">
        <w:rPr>
          <w:rFonts w:eastAsia="Times New Roman" w:cs="Times New Roman"/>
          <w:bCs/>
          <w:szCs w:val="24"/>
        </w:rPr>
        <w:t xml:space="preserve"> sharing</w:t>
      </w:r>
      <w:r>
        <w:rPr>
          <w:rFonts w:eastAsia="Times New Roman" w:cs="Times New Roman"/>
          <w:bCs/>
          <w:szCs w:val="24"/>
        </w:rPr>
        <w:t xml:space="preserve"> of</w:t>
      </w:r>
      <w:r w:rsidRPr="004412A7">
        <w:rPr>
          <w:rFonts w:eastAsia="Times New Roman" w:cs="Times New Roman"/>
          <w:bCs/>
          <w:szCs w:val="24"/>
        </w:rPr>
        <w:t xml:space="preserve"> the cost of a more </w:t>
      </w:r>
      <w:r w:rsidR="00EF0BB9">
        <w:rPr>
          <w:rFonts w:eastAsia="Times New Roman" w:cs="Times New Roman"/>
          <w:bCs/>
          <w:szCs w:val="24"/>
        </w:rPr>
        <w:t>expensive</w:t>
      </w:r>
      <w:r w:rsidR="00EF0BB9" w:rsidRPr="004412A7">
        <w:rPr>
          <w:rFonts w:eastAsia="Times New Roman" w:cs="Times New Roman"/>
          <w:bCs/>
          <w:szCs w:val="24"/>
        </w:rPr>
        <w:t xml:space="preserve"> </w:t>
      </w:r>
      <w:r w:rsidRPr="004412A7">
        <w:rPr>
          <w:rFonts w:eastAsia="Times New Roman" w:cs="Times New Roman"/>
          <w:bCs/>
          <w:szCs w:val="24"/>
        </w:rPr>
        <w:t xml:space="preserve">and skillful contract negotiating team </w:t>
      </w:r>
      <w:r>
        <w:rPr>
          <w:rFonts w:eastAsia="Times New Roman" w:cs="Times New Roman"/>
          <w:bCs/>
          <w:szCs w:val="24"/>
        </w:rPr>
        <w:t>or</w:t>
      </w:r>
      <w:r w:rsidRPr="004412A7">
        <w:rPr>
          <w:rFonts w:eastAsia="Times New Roman" w:cs="Times New Roman"/>
          <w:bCs/>
          <w:szCs w:val="24"/>
        </w:rPr>
        <w:t xml:space="preserve"> by pooling information from a larger set of contract negotiations.</w:t>
      </w:r>
      <w:r w:rsidR="004B5E54">
        <w:rPr>
          <w:rStyle w:val="FootnoteReference"/>
          <w:rFonts w:eastAsia="Times New Roman" w:cs="Times New Roman"/>
          <w:bCs/>
          <w:szCs w:val="24"/>
        </w:rPr>
        <w:footnoteReference w:id="16"/>
      </w:r>
      <w:r w:rsidRPr="004412A7">
        <w:rPr>
          <w:rFonts w:eastAsia="Times New Roman" w:cs="Times New Roman"/>
          <w:bCs/>
          <w:szCs w:val="24"/>
        </w:rPr>
        <w:t xml:space="preserve"> </w:t>
      </w:r>
      <w:r w:rsidR="006670FC">
        <w:rPr>
          <w:rFonts w:eastAsia="Times New Roman" w:cs="Times New Roman"/>
          <w:bCs/>
          <w:szCs w:val="24"/>
        </w:rPr>
        <w:t xml:space="preserve"> </w:t>
      </w:r>
      <w:r w:rsidRPr="004412A7">
        <w:rPr>
          <w:rFonts w:eastAsia="Times New Roman" w:cs="Times New Roman"/>
          <w:bCs/>
          <w:szCs w:val="24"/>
        </w:rPr>
        <w:t>Tenet Healthcare</w:t>
      </w:r>
      <w:r>
        <w:rPr>
          <w:rFonts w:eastAsia="Times New Roman" w:cs="Times New Roman"/>
          <w:bCs/>
          <w:szCs w:val="24"/>
        </w:rPr>
        <w:t xml:space="preserve"> explains </w:t>
      </w:r>
      <w:r w:rsidR="00AE0C43">
        <w:rPr>
          <w:rFonts w:eastAsia="Times New Roman" w:cs="Times New Roman"/>
          <w:bCs/>
          <w:szCs w:val="24"/>
        </w:rPr>
        <w:t>its use of</w:t>
      </w:r>
      <w:r w:rsidRPr="004412A7">
        <w:rPr>
          <w:rFonts w:eastAsia="Times New Roman" w:cs="Times New Roman"/>
          <w:bCs/>
          <w:szCs w:val="24"/>
        </w:rPr>
        <w:t xml:space="preserve"> new technology and a standardized negotiating format to improve its system results</w:t>
      </w:r>
      <w:r w:rsidR="006670FC">
        <w:rPr>
          <w:rFonts w:eastAsia="Times New Roman" w:cs="Times New Roman"/>
          <w:bCs/>
          <w:szCs w:val="24"/>
        </w:rPr>
        <w:t xml:space="preserve">, outcomes that </w:t>
      </w:r>
      <w:r w:rsidR="00AE0C43">
        <w:rPr>
          <w:rFonts w:eastAsia="Times New Roman" w:cs="Times New Roman"/>
          <w:bCs/>
          <w:szCs w:val="24"/>
        </w:rPr>
        <w:t>would</w:t>
      </w:r>
      <w:r w:rsidR="006670FC">
        <w:rPr>
          <w:rFonts w:eastAsia="Times New Roman" w:cs="Times New Roman"/>
          <w:bCs/>
          <w:szCs w:val="24"/>
        </w:rPr>
        <w:t xml:space="preserve"> not be available to non-system hospitals</w:t>
      </w:r>
      <w:r w:rsidRPr="004412A7">
        <w:rPr>
          <w:rFonts w:eastAsia="Times New Roman" w:cs="Times New Roman"/>
          <w:bCs/>
          <w:szCs w:val="24"/>
        </w:rPr>
        <w:t>.</w:t>
      </w:r>
      <w:r w:rsidR="006670FC">
        <w:rPr>
          <w:rStyle w:val="FootnoteReference"/>
          <w:rFonts w:eastAsia="Times New Roman" w:cs="Times New Roman"/>
          <w:bCs/>
          <w:szCs w:val="24"/>
        </w:rPr>
        <w:footnoteReference w:id="17"/>
      </w:r>
      <w:r w:rsidR="006670FC">
        <w:rPr>
          <w:rFonts w:eastAsia="Times New Roman" w:cs="Times New Roman"/>
          <w:bCs/>
          <w:szCs w:val="24"/>
        </w:rPr>
        <w:t xml:space="preserve"> </w:t>
      </w:r>
      <w:r w:rsidR="006670FC">
        <w:t xml:space="preserve"> Among other possible factors is the entrepreneurial talents of some hospital</w:t>
      </w:r>
      <w:r w:rsidR="003C79B3">
        <w:t xml:space="preserve"> managers </w:t>
      </w:r>
      <w:r w:rsidR="006670FC">
        <w:t>that leads them to not</w:t>
      </w:r>
      <w:r w:rsidR="003C79B3">
        <w:t xml:space="preserve"> seek </w:t>
      </w:r>
      <w:r w:rsidR="004F1566">
        <w:t xml:space="preserve">merger </w:t>
      </w:r>
      <w:r w:rsidR="003C79B3">
        <w:t xml:space="preserve">partners </w:t>
      </w:r>
      <w:r w:rsidR="006670FC">
        <w:t>or</w:t>
      </w:r>
      <w:r w:rsidR="003C79B3">
        <w:t xml:space="preserve"> rate increases from insurers</w:t>
      </w:r>
      <w:r w:rsidR="00AE0C43">
        <w:t xml:space="preserve"> </w:t>
      </w:r>
    </w:p>
    <w:p w:rsidR="00FF64C3" w:rsidRDefault="008B0797" w:rsidP="004412A7">
      <w:r w:rsidRPr="00621EE7">
        <w:rPr>
          <w:b/>
        </w:rPr>
        <w:t>C</w:t>
      </w:r>
      <w:r w:rsidR="00AE0C43" w:rsidRPr="00621EE7">
        <w:rPr>
          <w:b/>
        </w:rPr>
        <w:t>hanges in pricing</w:t>
      </w:r>
      <w:r w:rsidRPr="00621EE7">
        <w:rPr>
          <w:b/>
        </w:rPr>
        <w:t xml:space="preserve"> of this nature</w:t>
      </w:r>
      <w:r w:rsidR="00AE0C43" w:rsidRPr="00621EE7">
        <w:rPr>
          <w:b/>
        </w:rPr>
        <w:t xml:space="preserve"> are not driven by increases in market power, but rather by dynamics that arise due to membership in a system</w:t>
      </w:r>
      <w:r w:rsidR="00AE0C43">
        <w:t xml:space="preserve">.  </w:t>
      </w:r>
      <w:r w:rsidR="006670FC">
        <w:t>DH&amp;L attempt to control for th</w:t>
      </w:r>
      <w:r w:rsidR="00AE0C43">
        <w:t>ese system-wide changes</w:t>
      </w:r>
      <w:r w:rsidR="006670FC">
        <w:t xml:space="preserve"> by </w:t>
      </w:r>
      <w:r w:rsidR="00AE0C43">
        <w:t>comparing</w:t>
      </w:r>
      <w:r w:rsidR="006670FC">
        <w:t xml:space="preserve"> different price effects at system acquisitions in adjacent and non-adjacent markets</w:t>
      </w:r>
      <w:r w:rsidR="005E4C25">
        <w:t xml:space="preserve">.  </w:t>
      </w:r>
      <w:r>
        <w:t>They</w:t>
      </w:r>
      <w:r w:rsidR="004B5E54" w:rsidRPr="004B5E54">
        <w:t xml:space="preserve"> believe </w:t>
      </w:r>
      <w:r w:rsidR="005E4C25" w:rsidRPr="004B5E54">
        <w:t xml:space="preserve">that nearby hospitals will </w:t>
      </w:r>
      <w:r>
        <w:t>be more likely to increase</w:t>
      </w:r>
      <w:r w:rsidR="005E4C25" w:rsidRPr="004B5E54">
        <w:t xml:space="preserve"> price</w:t>
      </w:r>
      <w:r>
        <w:t>s</w:t>
      </w:r>
      <w:r w:rsidR="005E4C25" w:rsidRPr="004B5E54">
        <w:t xml:space="preserve"> because </w:t>
      </w:r>
      <w:r w:rsidR="004B5E54" w:rsidRPr="004B5E54">
        <w:t>they are</w:t>
      </w:r>
      <w:r w:rsidR="005E4C25" w:rsidRPr="004B5E54">
        <w:t xml:space="preserve"> more likely </w:t>
      </w:r>
      <w:r w:rsidR="004B5E54" w:rsidRPr="004B5E54">
        <w:t>to</w:t>
      </w:r>
      <w:r w:rsidR="005E4C25" w:rsidRPr="004B5E54">
        <w:t xml:space="preserve"> have </w:t>
      </w:r>
      <w:r w:rsidR="00B74F52" w:rsidRPr="004B5E54">
        <w:t>common customers</w:t>
      </w:r>
      <w:r>
        <w:t>.  However,</w:t>
      </w:r>
      <w:r w:rsidR="004B5E54" w:rsidRPr="004B5E54">
        <w:t xml:space="preserve"> they also find comparable price increases in adjacent and non-adjacent markets</w:t>
      </w:r>
      <w:r>
        <w:t>, which is consistent with system-wide factors that do not affect competition</w:t>
      </w:r>
      <w:r w:rsidR="005E4C25" w:rsidRPr="004B5E54">
        <w:t>.</w:t>
      </w:r>
      <w:r w:rsidR="004B5E54" w:rsidRPr="004B5E54">
        <w:rPr>
          <w:rStyle w:val="FootnoteReference"/>
        </w:rPr>
        <w:footnoteReference w:id="18"/>
      </w:r>
      <w:r w:rsidR="00734A14" w:rsidRPr="004B5E54">
        <w:t xml:space="preserve">  </w:t>
      </w:r>
    </w:p>
    <w:p w:rsidR="007E2662" w:rsidRPr="00621EE7" w:rsidRDefault="008C6ECF" w:rsidP="00141A77">
      <w:pPr>
        <w:keepNext/>
        <w:spacing w:before="360" w:after="360"/>
        <w:rPr>
          <w:b/>
        </w:rPr>
      </w:pPr>
      <w:r>
        <w:rPr>
          <w:b/>
        </w:rPr>
        <w:lastRenderedPageBreak/>
        <w:t xml:space="preserve">Highly Aggregated </w:t>
      </w:r>
      <w:r w:rsidR="007E2662">
        <w:rPr>
          <w:b/>
        </w:rPr>
        <w:t xml:space="preserve">Data </w:t>
      </w:r>
      <w:r>
        <w:rPr>
          <w:b/>
        </w:rPr>
        <w:t>Obscure Potentially Important Differences Across Plans</w:t>
      </w:r>
    </w:p>
    <w:p w:rsidR="00A7056D" w:rsidRDefault="006670FC" w:rsidP="004412A7">
      <w:r w:rsidRPr="00621EE7">
        <w:rPr>
          <w:b/>
        </w:rPr>
        <w:t>The price estimation conducted by DH&amp;L also relies on assumptions that affect the validity of their data.</w:t>
      </w:r>
      <w:r>
        <w:t xml:space="preserve">  </w:t>
      </w:r>
      <w:r w:rsidRPr="00621EE7">
        <w:rPr>
          <w:b/>
        </w:rPr>
        <w:t xml:space="preserve">One of those is that </w:t>
      </w:r>
      <w:r w:rsidR="00BC2858" w:rsidRPr="00621EE7">
        <w:rPr>
          <w:b/>
        </w:rPr>
        <w:t>they do not analyze actual negotiated transaction prices between health plans and hospital systems.</w:t>
      </w:r>
      <w:r w:rsidR="00BC2858">
        <w:t xml:space="preserve">  Rather, they approximate prices based on total revenue, exclusive of M</w:t>
      </w:r>
      <w:r w:rsidR="00E56309">
        <w:t>edicare payments but not omitting</w:t>
      </w:r>
      <w:r w:rsidR="00BC2858">
        <w:t xml:space="preserve"> Medicaid revenue</w:t>
      </w:r>
      <w:r w:rsidR="00734A14">
        <w:t>, with multiple adjustments to make the observations consistent</w:t>
      </w:r>
      <w:r w:rsidR="00BC2858">
        <w:t>.</w:t>
      </w:r>
      <w:r w:rsidR="00E56309">
        <w:rPr>
          <w:rStyle w:val="FootnoteReference"/>
        </w:rPr>
        <w:footnoteReference w:id="19"/>
      </w:r>
      <w:r w:rsidR="00BC2858">
        <w:t xml:space="preserve">  It is not clear how this approximation affects their results.  One possibility that cannot be divined from the data is </w:t>
      </w:r>
      <w:r w:rsidR="00B313AE">
        <w:t>whether</w:t>
      </w:r>
      <w:r w:rsidR="00BC2858">
        <w:t xml:space="preserve"> health plans or employers are affected differently with</w:t>
      </w:r>
      <w:bookmarkStart w:id="0" w:name="_GoBack"/>
      <w:bookmarkEnd w:id="0"/>
      <w:r w:rsidR="00BC2858">
        <w:t xml:space="preserve"> some experiencing the estimated price increases while others do not</w:t>
      </w:r>
      <w:r w:rsidR="00E56309">
        <w:t xml:space="preserve">.  </w:t>
      </w:r>
      <w:r w:rsidR="00BC2858">
        <w:t>The highly aggregated data obscure</w:t>
      </w:r>
      <w:r w:rsidR="00B313AE">
        <w:t>s</w:t>
      </w:r>
      <w:r w:rsidR="00BC2858">
        <w:t xml:space="preserve"> </w:t>
      </w:r>
      <w:r w:rsidR="00B313AE">
        <w:t>any such price</w:t>
      </w:r>
      <w:r w:rsidR="00BC2858">
        <w:t xml:space="preserve"> differences</w:t>
      </w:r>
      <w:r w:rsidR="00E56309">
        <w:t xml:space="preserve"> among payors</w:t>
      </w:r>
      <w:r w:rsidR="00BC2858">
        <w:t>.</w:t>
      </w:r>
    </w:p>
    <w:p w:rsidR="00B313AE" w:rsidRPr="00B313AE" w:rsidRDefault="00B313AE" w:rsidP="00141A77">
      <w:pPr>
        <w:keepNext/>
        <w:spacing w:before="360" w:after="360"/>
        <w:rPr>
          <w:b/>
        </w:rPr>
      </w:pPr>
      <w:r w:rsidRPr="00B313AE">
        <w:rPr>
          <w:b/>
        </w:rPr>
        <w:t>Conclusion</w:t>
      </w:r>
    </w:p>
    <w:p w:rsidR="00B313AE" w:rsidRDefault="00734A14" w:rsidP="00460A7F">
      <w:r>
        <w:t xml:space="preserve">The theories underlying concerns about cross-market effects are </w:t>
      </w:r>
      <w:r w:rsidR="00687A03">
        <w:t>just coming into existence</w:t>
      </w:r>
      <w:r>
        <w:t>.</w:t>
      </w:r>
      <w:r w:rsidR="006D728E">
        <w:t xml:space="preserve">  There is little doubt that they will be the focus of continued academic research.</w:t>
      </w:r>
      <w:r>
        <w:t xml:space="preserve">  </w:t>
      </w:r>
      <w:r w:rsidR="006D728E">
        <w:t>The FTC has yet to employ a cross-market effects model in challenging a hospital merger in court, but it has begun to raise the question in its investigations. Although the courts have been unreceptive to cross-market merger theories, more such inquiries by the FTC are certain to be on the horizon.</w:t>
      </w:r>
    </w:p>
    <w:p w:rsidR="00460A7F" w:rsidRPr="004412A7" w:rsidRDefault="00460A7F" w:rsidP="004412A7">
      <w:pPr>
        <w:spacing w:after="240" w:line="240" w:lineRule="auto"/>
        <w:ind w:firstLine="720"/>
        <w:outlineLvl w:val="2"/>
        <w:rPr>
          <w:rFonts w:eastAsia="Times New Roman" w:cs="Times New Roman"/>
          <w:bCs/>
          <w:szCs w:val="24"/>
        </w:rPr>
      </w:pPr>
    </w:p>
    <w:p w:rsidR="004412A7" w:rsidRDefault="004412A7" w:rsidP="004412A7"/>
    <w:sectPr w:rsidR="004412A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07" w:rsidRDefault="00B87707" w:rsidP="004412A7">
      <w:pPr>
        <w:spacing w:after="0" w:line="240" w:lineRule="auto"/>
      </w:pPr>
      <w:r>
        <w:separator/>
      </w:r>
    </w:p>
  </w:endnote>
  <w:endnote w:type="continuationSeparator" w:id="0">
    <w:p w:rsidR="00B87707" w:rsidRDefault="00B87707" w:rsidP="0044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226796"/>
      <w:docPartObj>
        <w:docPartGallery w:val="Page Numbers (Bottom of Page)"/>
        <w:docPartUnique/>
      </w:docPartObj>
    </w:sdtPr>
    <w:sdtEndPr>
      <w:rPr>
        <w:noProof/>
      </w:rPr>
    </w:sdtEndPr>
    <w:sdtContent>
      <w:p w:rsidR="007D5EFD" w:rsidRDefault="007D5EFD">
        <w:pPr>
          <w:pStyle w:val="Footer"/>
          <w:jc w:val="center"/>
        </w:pPr>
        <w:r>
          <w:fldChar w:fldCharType="begin"/>
        </w:r>
        <w:r>
          <w:instrText xml:space="preserve"> PAGE   \* MERGEFORMAT </w:instrText>
        </w:r>
        <w:r>
          <w:fldChar w:fldCharType="separate"/>
        </w:r>
        <w:r w:rsidR="00687A03">
          <w:rPr>
            <w:noProof/>
          </w:rPr>
          <w:t>6</w:t>
        </w:r>
        <w:r>
          <w:rPr>
            <w:noProof/>
          </w:rPr>
          <w:fldChar w:fldCharType="end"/>
        </w:r>
      </w:p>
    </w:sdtContent>
  </w:sdt>
  <w:p w:rsidR="007D5EFD" w:rsidRDefault="007D5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07" w:rsidRDefault="00B87707" w:rsidP="004412A7">
      <w:pPr>
        <w:spacing w:after="0" w:line="240" w:lineRule="auto"/>
      </w:pPr>
      <w:r>
        <w:separator/>
      </w:r>
    </w:p>
  </w:footnote>
  <w:footnote w:type="continuationSeparator" w:id="0">
    <w:p w:rsidR="00B87707" w:rsidRDefault="00B87707" w:rsidP="004412A7">
      <w:pPr>
        <w:spacing w:after="0" w:line="240" w:lineRule="auto"/>
      </w:pPr>
      <w:r>
        <w:continuationSeparator/>
      </w:r>
    </w:p>
  </w:footnote>
  <w:footnote w:id="1">
    <w:p w:rsidR="007D5EFD" w:rsidRDefault="007D5EFD" w:rsidP="009D40AC">
      <w:pPr>
        <w:pStyle w:val="FootnoteText"/>
        <w:ind w:left="720" w:hanging="720"/>
      </w:pPr>
      <w:r>
        <w:rPr>
          <w:rStyle w:val="FootnoteReference"/>
        </w:rPr>
        <w:footnoteRef/>
      </w:r>
      <w:r>
        <w:t xml:space="preserve"> </w:t>
      </w:r>
      <w:r>
        <w:tab/>
        <w:t xml:space="preserve">David A. Argue, Ph.D. and Lona Fowdur, Ph.D. are with Economists Incorporated in Washington, D.C.  Dr. Argue co-authored a more detailed treatment of this subject in </w:t>
      </w:r>
      <w:r w:rsidRPr="009D40AC">
        <w:rPr>
          <w:i/>
        </w:rPr>
        <w:t>Antitrust</w:t>
      </w:r>
      <w:r>
        <w:t>, Vol. 30, No. 1, Fall 2015, published by the American Bar Association.</w:t>
      </w:r>
    </w:p>
  </w:footnote>
  <w:footnote w:id="2">
    <w:p w:rsidR="007D5EFD" w:rsidRDefault="007D5EFD" w:rsidP="00051797">
      <w:pPr>
        <w:pStyle w:val="FootnoteText"/>
        <w:ind w:left="720" w:hanging="720"/>
      </w:pPr>
      <w:r>
        <w:rPr>
          <w:rStyle w:val="FootnoteReference"/>
        </w:rPr>
        <w:footnoteRef/>
      </w:r>
      <w:r>
        <w:t xml:space="preserve"> </w:t>
      </w:r>
      <w:r>
        <w:tab/>
      </w:r>
      <w:r>
        <w:rPr>
          <w:i/>
        </w:rPr>
        <w:t xml:space="preserve">See </w:t>
      </w:r>
      <w:r>
        <w:t xml:space="preserve">U.S. Dep’t of Justice &amp; Fed. Trade </w:t>
      </w:r>
      <w:proofErr w:type="spellStart"/>
      <w:r>
        <w:t>Comm’n</w:t>
      </w:r>
      <w:proofErr w:type="spellEnd"/>
      <w:r>
        <w:t xml:space="preserve"> Horizontal Merger Guidelines (2010) [hereinafter Guidelines], https://www.ftc.gov/sites/default/files/attachments/merger-review/100819hmg.pdf. This approach relies on the definition of a geographic market, the calculation of market shares and HHIs, and a determination based on those figures, as well as other market evidence, whether a transaction is likely to increase the combined entities’ market power and therefore substantially lessen competition within the defined geographic markets.</w:t>
      </w:r>
      <w:r w:rsidRPr="007D5306">
        <w:t xml:space="preserve"> </w:t>
      </w:r>
      <w:r>
        <w:t>Generally, courts have also accepted this approach.</w:t>
      </w:r>
    </w:p>
  </w:footnote>
  <w:footnote w:id="3">
    <w:p w:rsidR="007D5EFD" w:rsidRDefault="007D5EFD" w:rsidP="00051797">
      <w:pPr>
        <w:pStyle w:val="FootnoteText"/>
        <w:ind w:left="720" w:hanging="720"/>
      </w:pPr>
      <w:r>
        <w:rPr>
          <w:rStyle w:val="FootnoteReference"/>
        </w:rPr>
        <w:footnoteRef/>
      </w:r>
      <w:r>
        <w:t xml:space="preserve"> </w:t>
      </w:r>
      <w:r>
        <w:tab/>
      </w:r>
      <w:proofErr w:type="spellStart"/>
      <w:r w:rsidRPr="00D908AF">
        <w:t>Dafny</w:t>
      </w:r>
      <w:proofErr w:type="spellEnd"/>
      <w:r w:rsidRPr="00D908AF">
        <w:t xml:space="preserve">, </w:t>
      </w:r>
      <w:proofErr w:type="spellStart"/>
      <w:r w:rsidRPr="00D908AF">
        <w:t>Leemore</w:t>
      </w:r>
      <w:proofErr w:type="spellEnd"/>
      <w:r w:rsidRPr="00D908AF">
        <w:t>, Kate Ho, and Robin S. Lee</w:t>
      </w:r>
      <w:r>
        <w:t>,</w:t>
      </w:r>
      <w:r w:rsidRPr="00D908AF">
        <w:t xml:space="preserve"> </w:t>
      </w:r>
      <w:r w:rsidRPr="00D908AF">
        <w:rPr>
          <w:i/>
        </w:rPr>
        <w:t>The Price Effects of Cross-Market Hospital Mergers</w:t>
      </w:r>
      <w:r>
        <w:t>,</w:t>
      </w:r>
      <w:r w:rsidRPr="00D908AF">
        <w:t xml:space="preserve"> No. w22106. National Bureau of Economic Research</w:t>
      </w:r>
      <w:r>
        <w:t xml:space="preserve"> (</w:t>
      </w:r>
      <w:r w:rsidRPr="00D908AF">
        <w:t>2016</w:t>
      </w:r>
      <w:r>
        <w:t>) [hereinafter DH&amp;L]</w:t>
      </w:r>
      <w:r w:rsidRPr="00D908AF">
        <w:t>.</w:t>
      </w:r>
    </w:p>
  </w:footnote>
  <w:footnote w:id="4">
    <w:p w:rsidR="00AC27AD" w:rsidRDefault="00AC27AD">
      <w:pPr>
        <w:pStyle w:val="FootnoteText"/>
      </w:pPr>
      <w:r>
        <w:rPr>
          <w:rStyle w:val="FootnoteReference"/>
        </w:rPr>
        <w:footnoteRef/>
      </w:r>
      <w:r>
        <w:t xml:space="preserve"> </w:t>
      </w:r>
      <w:r>
        <w:tab/>
        <w:t>DH&amp;L, note 4.</w:t>
      </w:r>
    </w:p>
  </w:footnote>
  <w:footnote w:id="5">
    <w:p w:rsidR="007D5EFD" w:rsidRDefault="007D5EFD" w:rsidP="00A34AFF">
      <w:pPr>
        <w:pStyle w:val="FootnoteText"/>
        <w:ind w:left="720" w:hanging="720"/>
      </w:pPr>
      <w:r>
        <w:rPr>
          <w:rStyle w:val="FootnoteReference"/>
        </w:rPr>
        <w:footnoteRef/>
      </w:r>
      <w:r>
        <w:t xml:space="preserve"> </w:t>
      </w:r>
      <w:r>
        <w:tab/>
        <w:t xml:space="preserve">More specifically, </w:t>
      </w:r>
      <w:r>
        <w:rPr>
          <w:rFonts w:eastAsia="Times New Roman" w:cs="Times New Roman"/>
          <w:bCs/>
          <w:iCs/>
          <w:szCs w:val="24"/>
        </w:rPr>
        <w:t xml:space="preserve">insurers will suffer a </w:t>
      </w:r>
      <w:r w:rsidRPr="003B6FAF">
        <w:rPr>
          <w:rFonts w:eastAsia="Times New Roman" w:cs="Times New Roman"/>
          <w:bCs/>
          <w:iCs/>
          <w:szCs w:val="24"/>
        </w:rPr>
        <w:t xml:space="preserve">greater </w:t>
      </w:r>
      <w:r>
        <w:rPr>
          <w:rFonts w:eastAsia="Times New Roman" w:cs="Times New Roman"/>
          <w:bCs/>
          <w:iCs/>
          <w:szCs w:val="24"/>
        </w:rPr>
        <w:t xml:space="preserve">loss of profits </w:t>
      </w:r>
      <w:r w:rsidRPr="003B6FAF">
        <w:rPr>
          <w:rFonts w:eastAsia="Times New Roman" w:cs="Times New Roman"/>
          <w:bCs/>
          <w:iCs/>
          <w:szCs w:val="24"/>
        </w:rPr>
        <w:t>w</w:t>
      </w:r>
      <w:r>
        <w:rPr>
          <w:rFonts w:eastAsia="Times New Roman" w:cs="Times New Roman"/>
          <w:bCs/>
          <w:iCs/>
          <w:szCs w:val="24"/>
        </w:rPr>
        <w:t>hen both</w:t>
      </w:r>
      <w:r w:rsidRPr="003B6FAF">
        <w:rPr>
          <w:rFonts w:eastAsia="Times New Roman" w:cs="Times New Roman"/>
          <w:bCs/>
          <w:iCs/>
          <w:szCs w:val="24"/>
        </w:rPr>
        <w:t xml:space="preserve"> hospitals </w:t>
      </w:r>
      <w:r>
        <w:rPr>
          <w:rFonts w:eastAsia="Times New Roman" w:cs="Times New Roman"/>
          <w:bCs/>
          <w:iCs/>
          <w:szCs w:val="24"/>
        </w:rPr>
        <w:t>are excluded from its</w:t>
      </w:r>
      <w:r w:rsidRPr="003B6FAF">
        <w:rPr>
          <w:rFonts w:eastAsia="Times New Roman" w:cs="Times New Roman"/>
          <w:bCs/>
          <w:iCs/>
          <w:szCs w:val="24"/>
        </w:rPr>
        <w:t xml:space="preserve"> network than the sum of the </w:t>
      </w:r>
      <w:r>
        <w:rPr>
          <w:rFonts w:eastAsia="Times New Roman" w:cs="Times New Roman"/>
          <w:bCs/>
          <w:iCs/>
          <w:szCs w:val="24"/>
        </w:rPr>
        <w:t xml:space="preserve">lost </w:t>
      </w:r>
      <w:r w:rsidRPr="003B6FAF">
        <w:rPr>
          <w:rFonts w:eastAsia="Times New Roman" w:cs="Times New Roman"/>
          <w:bCs/>
          <w:iCs/>
          <w:szCs w:val="24"/>
        </w:rPr>
        <w:t>profit</w:t>
      </w:r>
      <w:r>
        <w:rPr>
          <w:rFonts w:eastAsia="Times New Roman" w:cs="Times New Roman"/>
          <w:bCs/>
          <w:iCs/>
          <w:szCs w:val="24"/>
        </w:rPr>
        <w:t>s when e</w:t>
      </w:r>
      <w:r w:rsidRPr="003B6FAF">
        <w:rPr>
          <w:rFonts w:eastAsia="Times New Roman" w:cs="Times New Roman"/>
          <w:bCs/>
          <w:iCs/>
          <w:szCs w:val="24"/>
        </w:rPr>
        <w:t xml:space="preserve">ach hospital </w:t>
      </w:r>
      <w:r>
        <w:rPr>
          <w:rFonts w:eastAsia="Times New Roman" w:cs="Times New Roman"/>
          <w:bCs/>
          <w:iCs/>
          <w:szCs w:val="24"/>
        </w:rPr>
        <w:t xml:space="preserve">is </w:t>
      </w:r>
      <w:r w:rsidRPr="003B6FAF">
        <w:rPr>
          <w:rFonts w:eastAsia="Times New Roman" w:cs="Times New Roman"/>
          <w:bCs/>
          <w:iCs/>
          <w:szCs w:val="24"/>
        </w:rPr>
        <w:t>excluded individually.</w:t>
      </w:r>
      <w:r>
        <w:rPr>
          <w:rFonts w:eastAsia="Times New Roman" w:cs="Times New Roman"/>
          <w:bCs/>
          <w:iCs/>
          <w:szCs w:val="24"/>
        </w:rPr>
        <w:t xml:space="preserve">  </w:t>
      </w:r>
      <w:r>
        <w:t>DH&amp;L, pp. 3, 10.</w:t>
      </w:r>
    </w:p>
  </w:footnote>
  <w:footnote w:id="6">
    <w:p w:rsidR="007D5EFD" w:rsidRDefault="007D5EFD" w:rsidP="00051797">
      <w:pPr>
        <w:pStyle w:val="FootnoteText"/>
        <w:ind w:left="720" w:hanging="720"/>
      </w:pPr>
      <w:r>
        <w:rPr>
          <w:rStyle w:val="FootnoteReference"/>
        </w:rPr>
        <w:footnoteRef/>
      </w:r>
      <w:r>
        <w:t xml:space="preserve"> </w:t>
      </w:r>
      <w:r>
        <w:tab/>
        <w:t xml:space="preserve">DH&amp;L, p. 26.  DH&amp;L explain that the Common Insurer effect </w:t>
      </w:r>
      <w:r w:rsidRPr="003B6FAF">
        <w:rPr>
          <w:rFonts w:eastAsia="Times New Roman" w:cs="Times New Roman"/>
          <w:bCs/>
          <w:iCs/>
          <w:szCs w:val="24"/>
        </w:rPr>
        <w:t>arise</w:t>
      </w:r>
      <w:r>
        <w:rPr>
          <w:rFonts w:eastAsia="Times New Roman" w:cs="Times New Roman"/>
          <w:bCs/>
          <w:iCs/>
          <w:szCs w:val="24"/>
        </w:rPr>
        <w:t>s</w:t>
      </w:r>
      <w:r w:rsidRPr="003B6FAF">
        <w:rPr>
          <w:rFonts w:eastAsia="Times New Roman" w:cs="Times New Roman"/>
          <w:bCs/>
          <w:iCs/>
          <w:szCs w:val="24"/>
        </w:rPr>
        <w:t xml:space="preserve"> when the merger allows the system to bypass a pricing limitation in one market by charging a higher price in the other market where pricing constraints do not apply.  </w:t>
      </w:r>
      <w:r>
        <w:rPr>
          <w:rFonts w:eastAsia="Times New Roman" w:cs="Times New Roman"/>
          <w:bCs/>
          <w:iCs/>
          <w:szCs w:val="24"/>
        </w:rPr>
        <w:t>They also</w:t>
      </w:r>
      <w:r w:rsidRPr="003B6FAF">
        <w:rPr>
          <w:rFonts w:eastAsia="Times New Roman" w:cs="Times New Roman"/>
          <w:bCs/>
          <w:iCs/>
          <w:szCs w:val="24"/>
        </w:rPr>
        <w:t xml:space="preserve"> theorize that the Common Insurer effect may arise if customers have different elasticities of demand across the two markets which may allow the system to increase price in one market and lower it in another.</w:t>
      </w:r>
      <w:r w:rsidRPr="004412A7">
        <w:rPr>
          <w:rFonts w:eastAsia="Times New Roman" w:cs="Times New Roman"/>
          <w:bCs/>
          <w:iCs/>
          <w:szCs w:val="24"/>
        </w:rPr>
        <w:t xml:space="preserve">  </w:t>
      </w:r>
    </w:p>
  </w:footnote>
  <w:footnote w:id="7">
    <w:p w:rsidR="008B0797" w:rsidRDefault="008B0797">
      <w:pPr>
        <w:pStyle w:val="FootnoteText"/>
      </w:pPr>
      <w:r>
        <w:rPr>
          <w:rStyle w:val="FootnoteReference"/>
        </w:rPr>
        <w:footnoteRef/>
      </w:r>
      <w:r>
        <w:t xml:space="preserve"> </w:t>
      </w:r>
      <w:r>
        <w:tab/>
        <w:t xml:space="preserve">DH&amp;L, p. </w:t>
      </w:r>
      <w:r w:rsidR="0011438D">
        <w:t>25</w:t>
      </w:r>
      <w:r>
        <w:t>.</w:t>
      </w:r>
    </w:p>
  </w:footnote>
  <w:footnote w:id="8">
    <w:p w:rsidR="0090011E" w:rsidRDefault="0090011E" w:rsidP="0090011E">
      <w:pPr>
        <w:pStyle w:val="FootnoteText"/>
        <w:ind w:left="720" w:hanging="720"/>
      </w:pPr>
      <w:r>
        <w:rPr>
          <w:rStyle w:val="FootnoteReference"/>
        </w:rPr>
        <w:footnoteRef/>
      </w:r>
      <w:r>
        <w:t xml:space="preserve"> </w:t>
      </w:r>
      <w:r>
        <w:tab/>
        <w:t>DH&amp;L rely on</w:t>
      </w:r>
      <w:r w:rsidRPr="001E2233">
        <w:t xml:space="preserve"> a sample of hospital mergers consummated between </w:t>
      </w:r>
      <w:r>
        <w:t>1997</w:t>
      </w:r>
      <w:r w:rsidRPr="001E2233">
        <w:t xml:space="preserve"> and 201</w:t>
      </w:r>
      <w:r>
        <w:t>1</w:t>
      </w:r>
      <w:r w:rsidRPr="001E2233">
        <w:t xml:space="preserve"> that were investigated by the FTC </w:t>
      </w:r>
      <w:r>
        <w:t>and a separate</w:t>
      </w:r>
      <w:r w:rsidRPr="001E2233">
        <w:t xml:space="preserve"> sample of</w:t>
      </w:r>
      <w:r>
        <w:t xml:space="preserve"> other hospital mergers.</w:t>
      </w:r>
    </w:p>
  </w:footnote>
  <w:footnote w:id="9">
    <w:p w:rsidR="007D5EFD" w:rsidRDefault="007D5EFD" w:rsidP="00AE0C43">
      <w:pPr>
        <w:pStyle w:val="FootnoteText"/>
      </w:pPr>
      <w:r>
        <w:rPr>
          <w:rStyle w:val="FootnoteReference"/>
        </w:rPr>
        <w:footnoteRef/>
      </w:r>
      <w:r>
        <w:t xml:space="preserve"> </w:t>
      </w:r>
      <w:r>
        <w:tab/>
        <w:t>DH&amp;L, p. 2.</w:t>
      </w:r>
    </w:p>
  </w:footnote>
  <w:footnote w:id="10">
    <w:p w:rsidR="007D5EFD" w:rsidRDefault="007D5EFD" w:rsidP="00E56309">
      <w:pPr>
        <w:pStyle w:val="FootnoteText"/>
        <w:ind w:left="720" w:hanging="720"/>
      </w:pPr>
      <w:r>
        <w:rPr>
          <w:rStyle w:val="FootnoteReference"/>
        </w:rPr>
        <w:footnoteRef/>
      </w:r>
      <w:r>
        <w:t xml:space="preserve"> </w:t>
      </w:r>
      <w:r>
        <w:tab/>
        <w:t xml:space="preserve">FTC v. St. Luke’s Health Sys., No. 13-cv-00116, 2014 WL 407446 (D. Idaho Jan. 24, 2014), </w:t>
      </w:r>
      <w:r w:rsidRPr="00E56309">
        <w:rPr>
          <w:i/>
        </w:rPr>
        <w:t>aff’d</w:t>
      </w:r>
      <w:r>
        <w:t xml:space="preserve">, St. </w:t>
      </w:r>
      <w:proofErr w:type="spellStart"/>
      <w:r>
        <w:t>Alphonsus</w:t>
      </w:r>
      <w:proofErr w:type="spellEnd"/>
      <w:r>
        <w:t xml:space="preserve"> Med. Ctr. v. St. Luke’s Health Sys., 778 F.3d 775 (9</w:t>
      </w:r>
      <w:r w:rsidRPr="00E56309">
        <w:rPr>
          <w:vertAlign w:val="superscript"/>
        </w:rPr>
        <w:t>th</w:t>
      </w:r>
      <w:r>
        <w:t xml:space="preserve"> Cir. 2015).</w:t>
      </w:r>
    </w:p>
  </w:footnote>
  <w:footnote w:id="11">
    <w:p w:rsidR="007D5EFD" w:rsidRDefault="007D5EFD">
      <w:pPr>
        <w:pStyle w:val="FootnoteText"/>
      </w:pPr>
      <w:r>
        <w:rPr>
          <w:rStyle w:val="FootnoteReference"/>
        </w:rPr>
        <w:footnoteRef/>
      </w:r>
      <w:r>
        <w:t xml:space="preserve"> </w:t>
      </w:r>
      <w:r>
        <w:tab/>
        <w:t>DH&amp;L, p</w:t>
      </w:r>
      <w:r w:rsidR="00BD6EE2">
        <w:t>p</w:t>
      </w:r>
      <w:r>
        <w:t xml:space="preserve">. </w:t>
      </w:r>
      <w:r w:rsidR="00BD6EE2">
        <w:t>16, 18 and 24.</w:t>
      </w:r>
    </w:p>
  </w:footnote>
  <w:footnote w:id="12">
    <w:p w:rsidR="004B5E54" w:rsidRDefault="004B5E54">
      <w:pPr>
        <w:pStyle w:val="FootnoteText"/>
      </w:pPr>
      <w:r>
        <w:rPr>
          <w:rStyle w:val="FootnoteReference"/>
        </w:rPr>
        <w:footnoteRef/>
      </w:r>
      <w:r>
        <w:t xml:space="preserve"> </w:t>
      </w:r>
      <w:r>
        <w:tab/>
      </w:r>
      <w:r w:rsidRPr="004B5E54">
        <w:rPr>
          <w:i/>
        </w:rPr>
        <w:t>See</w:t>
      </w:r>
      <w:r>
        <w:t xml:space="preserve"> DH&amp;L, p. 14.</w:t>
      </w:r>
    </w:p>
  </w:footnote>
  <w:footnote w:id="13">
    <w:p w:rsidR="007D5EFD" w:rsidRDefault="007D5EFD" w:rsidP="00C74B08">
      <w:pPr>
        <w:pStyle w:val="FootnoteText"/>
        <w:ind w:left="720" w:hanging="720"/>
      </w:pPr>
      <w:r>
        <w:rPr>
          <w:rStyle w:val="FootnoteReference"/>
        </w:rPr>
        <w:footnoteRef/>
      </w:r>
      <w:r>
        <w:t xml:space="preserve"> </w:t>
      </w:r>
      <w:r>
        <w:tab/>
        <w:t xml:space="preserve">If instead one or both hospitals did not have good substitutes in their individual areas, it is possible that cross-market effects could arise, but conduct such as all-or-nothing contracting could be subject to challenge under tying or more traditional theories of leveraging market power and cross-market antitrust theories could be unnecessary. </w:t>
      </w:r>
    </w:p>
  </w:footnote>
  <w:footnote w:id="14">
    <w:p w:rsidR="007D5EFD" w:rsidRPr="007B10BB" w:rsidRDefault="007D5EFD" w:rsidP="00833929">
      <w:pPr>
        <w:pStyle w:val="FootnoteText"/>
        <w:ind w:left="720" w:hanging="720"/>
        <w:rPr>
          <w:b/>
        </w:rPr>
      </w:pPr>
      <w:r>
        <w:rPr>
          <w:rStyle w:val="FootnoteReference"/>
        </w:rPr>
        <w:footnoteRef/>
      </w:r>
      <w:r>
        <w:t xml:space="preserve"> </w:t>
      </w:r>
      <w:r>
        <w:tab/>
      </w:r>
      <w:r w:rsidR="00833929">
        <w:t xml:space="preserve">DH&amp;L note that a key requirement of the cross-market effects is the presence of at least one common customer who values having both of the system hospitals in their network.  </w:t>
      </w:r>
      <w:r>
        <w:t xml:space="preserve">DH&amp;L, p. </w:t>
      </w:r>
      <w:r w:rsidR="00833929">
        <w:t>11</w:t>
      </w:r>
      <w:r>
        <w:t xml:space="preserve">.  </w:t>
      </w:r>
    </w:p>
  </w:footnote>
  <w:footnote w:id="15">
    <w:p w:rsidR="00EF0BB9" w:rsidRPr="004B5E54" w:rsidRDefault="007D5EFD" w:rsidP="00EF0BB9">
      <w:pPr>
        <w:pStyle w:val="FootnoteText"/>
        <w:ind w:left="720" w:hanging="720"/>
      </w:pPr>
      <w:r>
        <w:rPr>
          <w:rStyle w:val="FootnoteReference"/>
        </w:rPr>
        <w:footnoteRef/>
      </w:r>
      <w:r>
        <w:t xml:space="preserve"> </w:t>
      </w:r>
      <w:r>
        <w:tab/>
      </w:r>
      <w:r w:rsidR="00EF0BB9" w:rsidRPr="00EF0BB9">
        <w:t>Morgan-</w:t>
      </w:r>
      <w:proofErr w:type="spellStart"/>
      <w:r w:rsidR="00EF0BB9" w:rsidRPr="00EF0BB9">
        <w:t>Besecker</w:t>
      </w:r>
      <w:proofErr w:type="spellEnd"/>
      <w:r w:rsidR="00EF0BB9" w:rsidRPr="00EF0BB9">
        <w:t xml:space="preserve">, Terry, </w:t>
      </w:r>
      <w:r w:rsidR="004B5E54">
        <w:t>“</w:t>
      </w:r>
      <w:r w:rsidR="00EF0BB9" w:rsidRPr="004B5E54">
        <w:t>Experts Say Consolidation of Hospitals Can Be Good and Bad</w:t>
      </w:r>
    </w:p>
    <w:p w:rsidR="007D5EFD" w:rsidRPr="00EF0BB9" w:rsidRDefault="00EF0BB9" w:rsidP="00EF0BB9">
      <w:pPr>
        <w:pStyle w:val="FootnoteText"/>
        <w:ind w:left="720"/>
        <w:rPr>
          <w:i/>
        </w:rPr>
      </w:pPr>
      <w:r w:rsidRPr="004B5E54">
        <w:t>for Consumers,</w:t>
      </w:r>
      <w:r w:rsidR="004B5E54">
        <w:t>”</w:t>
      </w:r>
      <w:r w:rsidRPr="00EF0BB9">
        <w:rPr>
          <w:i/>
        </w:rPr>
        <w:t xml:space="preserve"> </w:t>
      </w:r>
      <w:r w:rsidRPr="00EF0BB9">
        <w:t>The Times Tribune, March 13 (2016).</w:t>
      </w:r>
    </w:p>
  </w:footnote>
  <w:footnote w:id="16">
    <w:p w:rsidR="004B5E54" w:rsidRDefault="004B5E54">
      <w:pPr>
        <w:pStyle w:val="FootnoteText"/>
      </w:pPr>
      <w:r>
        <w:rPr>
          <w:rStyle w:val="FootnoteReference"/>
        </w:rPr>
        <w:footnoteRef/>
      </w:r>
      <w:r>
        <w:t xml:space="preserve"> </w:t>
      </w:r>
      <w:r>
        <w:tab/>
        <w:t>DH&amp;L, p. 14.</w:t>
      </w:r>
    </w:p>
  </w:footnote>
  <w:footnote w:id="17">
    <w:p w:rsidR="007D5EFD" w:rsidRPr="006670FC" w:rsidRDefault="007D5EFD" w:rsidP="00EF0BB9">
      <w:pPr>
        <w:pStyle w:val="FootnoteText"/>
        <w:ind w:left="720" w:hanging="720"/>
        <w:rPr>
          <w:b/>
        </w:rPr>
      </w:pPr>
      <w:r w:rsidRPr="00EF0BB9">
        <w:rPr>
          <w:rStyle w:val="FootnoteReference"/>
        </w:rPr>
        <w:footnoteRef/>
      </w:r>
      <w:r w:rsidRPr="00EF0BB9">
        <w:t xml:space="preserve"> </w:t>
      </w:r>
      <w:r w:rsidRPr="00EF0BB9">
        <w:tab/>
      </w:r>
      <w:proofErr w:type="spellStart"/>
      <w:r w:rsidR="004B5E54">
        <w:t>Colias</w:t>
      </w:r>
      <w:proofErr w:type="spellEnd"/>
      <w:r w:rsidR="004B5E54">
        <w:t xml:space="preserve">, M., “Ready to Rumble,” </w:t>
      </w:r>
      <w:r w:rsidR="004B5E54" w:rsidRPr="004B5E54">
        <w:rPr>
          <w:i/>
        </w:rPr>
        <w:t>Hospitals &amp; Health Networks</w:t>
      </w:r>
      <w:r w:rsidR="004B5E54">
        <w:t>, January 2006, pp. 32-36.</w:t>
      </w:r>
    </w:p>
  </w:footnote>
  <w:footnote w:id="18">
    <w:p w:rsidR="004B5E54" w:rsidRDefault="004B5E54">
      <w:pPr>
        <w:pStyle w:val="FootnoteText"/>
      </w:pPr>
      <w:r>
        <w:rPr>
          <w:rStyle w:val="FootnoteReference"/>
        </w:rPr>
        <w:footnoteRef/>
      </w:r>
      <w:r>
        <w:t xml:space="preserve"> </w:t>
      </w:r>
      <w:r>
        <w:tab/>
        <w:t>DH&amp;L, p. 25.</w:t>
      </w:r>
    </w:p>
  </w:footnote>
  <w:footnote w:id="19">
    <w:p w:rsidR="007D5EFD" w:rsidRPr="00E56309" w:rsidRDefault="007D5EFD">
      <w:pPr>
        <w:pStyle w:val="FootnoteText"/>
        <w:rPr>
          <w:b/>
        </w:rPr>
      </w:pPr>
      <w:r>
        <w:rPr>
          <w:rStyle w:val="FootnoteReference"/>
        </w:rPr>
        <w:footnoteRef/>
      </w:r>
      <w:r>
        <w:t xml:space="preserve"> </w:t>
      </w:r>
      <w:r>
        <w:tab/>
        <w:t xml:space="preserve">DH&amp;L, p. </w:t>
      </w:r>
      <w:r w:rsidR="003419B7">
        <w:t xml:space="preserve">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10" w:rsidRDefault="00BF7A10" w:rsidP="00BF7A10">
    <w:pPr>
      <w:pStyle w:val="Header"/>
      <w:jc w:val="right"/>
    </w:pPr>
    <w:r>
      <w:rPr>
        <w:noProof/>
      </w:rPr>
      <w:drawing>
        <wp:inline distT="0" distB="0" distL="0" distR="0" wp14:anchorId="0007D22D" wp14:editId="4716B0A9">
          <wp:extent cx="762000" cy="248181"/>
          <wp:effectExtent l="0" t="0" r="0" b="0"/>
          <wp:docPr id="1" name="Picture 1" descr="C:\Users\argue_d\Desktop\argue_d\z3. Brochure, CV, Fees, Letterhead\Economists_In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gue_d\Desktop\argue_d\z3. Brochure, CV, Fees, Letterhead\Economists_In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32" cy="2489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5C1C0C"/>
    <w:lvl w:ilvl="0">
      <w:start w:val="1"/>
      <w:numFmt w:val="bullet"/>
      <w:pStyle w:val="ListBullet1"/>
      <w:lvlText w:val=""/>
      <w:lvlJc w:val="left"/>
      <w:pPr>
        <w:ind w:left="720" w:hanging="720"/>
      </w:pPr>
      <w:rPr>
        <w:rFonts w:ascii="Symbol" w:hAnsi="Symbol" w:hint="default"/>
        <w:color w:val="auto"/>
      </w:rPr>
    </w:lvl>
  </w:abstractNum>
  <w:abstractNum w:abstractNumId="1">
    <w:nsid w:val="43125E44"/>
    <w:multiLevelType w:val="multilevel"/>
    <w:tmpl w:val="A01E2982"/>
    <w:lvl w:ilvl="0">
      <w:start w:val="1"/>
      <w:numFmt w:val="upperRoman"/>
      <w:lvlText w:val="%1."/>
      <w:lvlJc w:val="left"/>
      <w:pPr>
        <w:ind w:left="0" w:firstLine="0"/>
      </w:pPr>
      <w:rPr>
        <w:rFonts w:hint="default"/>
      </w:rPr>
    </w:lvl>
    <w:lvl w:ilvl="1">
      <w:start w:val="1"/>
      <w:numFmt w:val="upperLetter"/>
      <w:pStyle w:val="Heading2"/>
      <w:lvlText w:val="%2."/>
      <w:lvlJc w:val="left"/>
      <w:pPr>
        <w:ind w:left="720" w:firstLine="0"/>
      </w:pPr>
      <w:rPr>
        <w:rFonts w:ascii="Times New Roman" w:hAnsi="Times New Roman" w:cs="Times New Roman" w:hint="default"/>
        <w:color w:val="auto"/>
        <w:sz w:val="24"/>
      </w:r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tton, Mindy">
    <w15:presenceInfo w15:providerId="AD" w15:userId="S-1-5-21-921608389-1917390104-3615547825-1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EA"/>
    <w:rsid w:val="00051797"/>
    <w:rsid w:val="000551C5"/>
    <w:rsid w:val="000659C2"/>
    <w:rsid w:val="00077298"/>
    <w:rsid w:val="000E274D"/>
    <w:rsid w:val="0011009E"/>
    <w:rsid w:val="0011438D"/>
    <w:rsid w:val="00116FBA"/>
    <w:rsid w:val="00130F5D"/>
    <w:rsid w:val="00141A77"/>
    <w:rsid w:val="0015336C"/>
    <w:rsid w:val="00186EA3"/>
    <w:rsid w:val="00191602"/>
    <w:rsid w:val="00196135"/>
    <w:rsid w:val="001A0B74"/>
    <w:rsid w:val="001A67AB"/>
    <w:rsid w:val="001B4746"/>
    <w:rsid w:val="001D18C7"/>
    <w:rsid w:val="001E2233"/>
    <w:rsid w:val="001F0217"/>
    <w:rsid w:val="00201036"/>
    <w:rsid w:val="00232579"/>
    <w:rsid w:val="00252306"/>
    <w:rsid w:val="00290DB9"/>
    <w:rsid w:val="002C1E2E"/>
    <w:rsid w:val="002E0D3C"/>
    <w:rsid w:val="002F2D09"/>
    <w:rsid w:val="0032286C"/>
    <w:rsid w:val="003254DA"/>
    <w:rsid w:val="003419B7"/>
    <w:rsid w:val="00365120"/>
    <w:rsid w:val="003B131A"/>
    <w:rsid w:val="003B6FAF"/>
    <w:rsid w:val="003C79B3"/>
    <w:rsid w:val="003E4B81"/>
    <w:rsid w:val="004412A7"/>
    <w:rsid w:val="00460A7F"/>
    <w:rsid w:val="004B5E54"/>
    <w:rsid w:val="004E4936"/>
    <w:rsid w:val="004F02E8"/>
    <w:rsid w:val="004F1566"/>
    <w:rsid w:val="00515838"/>
    <w:rsid w:val="00550FCD"/>
    <w:rsid w:val="00564CE8"/>
    <w:rsid w:val="005820F2"/>
    <w:rsid w:val="00584396"/>
    <w:rsid w:val="005940AB"/>
    <w:rsid w:val="005A3A0E"/>
    <w:rsid w:val="005A6A3C"/>
    <w:rsid w:val="005E4C25"/>
    <w:rsid w:val="00602C23"/>
    <w:rsid w:val="006044FA"/>
    <w:rsid w:val="00621EE7"/>
    <w:rsid w:val="006670FC"/>
    <w:rsid w:val="00687A03"/>
    <w:rsid w:val="006D12E6"/>
    <w:rsid w:val="006D728E"/>
    <w:rsid w:val="007077AC"/>
    <w:rsid w:val="00734A14"/>
    <w:rsid w:val="007724E7"/>
    <w:rsid w:val="00772946"/>
    <w:rsid w:val="00783486"/>
    <w:rsid w:val="007B10BB"/>
    <w:rsid w:val="007D030E"/>
    <w:rsid w:val="007D3CDD"/>
    <w:rsid w:val="007D5306"/>
    <w:rsid w:val="007D5EFD"/>
    <w:rsid w:val="007E2662"/>
    <w:rsid w:val="007E5D39"/>
    <w:rsid w:val="00801738"/>
    <w:rsid w:val="0081761E"/>
    <w:rsid w:val="00822D68"/>
    <w:rsid w:val="008301CA"/>
    <w:rsid w:val="00833929"/>
    <w:rsid w:val="00856B3C"/>
    <w:rsid w:val="00883096"/>
    <w:rsid w:val="008B0797"/>
    <w:rsid w:val="008C6ECF"/>
    <w:rsid w:val="008E3238"/>
    <w:rsid w:val="008F18E9"/>
    <w:rsid w:val="008F452B"/>
    <w:rsid w:val="0090011E"/>
    <w:rsid w:val="009144FB"/>
    <w:rsid w:val="00927E39"/>
    <w:rsid w:val="0093336F"/>
    <w:rsid w:val="009477C8"/>
    <w:rsid w:val="009544E9"/>
    <w:rsid w:val="00983F3E"/>
    <w:rsid w:val="009D381D"/>
    <w:rsid w:val="009D40AC"/>
    <w:rsid w:val="00A34AFF"/>
    <w:rsid w:val="00A41691"/>
    <w:rsid w:val="00A64CF0"/>
    <w:rsid w:val="00A7056D"/>
    <w:rsid w:val="00AA2F0F"/>
    <w:rsid w:val="00AB28ED"/>
    <w:rsid w:val="00AC27AD"/>
    <w:rsid w:val="00AE02DF"/>
    <w:rsid w:val="00AE0C43"/>
    <w:rsid w:val="00AE5523"/>
    <w:rsid w:val="00AE5D84"/>
    <w:rsid w:val="00AF67F0"/>
    <w:rsid w:val="00B24BF9"/>
    <w:rsid w:val="00B313AE"/>
    <w:rsid w:val="00B62324"/>
    <w:rsid w:val="00B74F52"/>
    <w:rsid w:val="00B87707"/>
    <w:rsid w:val="00BC2858"/>
    <w:rsid w:val="00BC41B2"/>
    <w:rsid w:val="00BD6EE2"/>
    <w:rsid w:val="00BF7A10"/>
    <w:rsid w:val="00C74B08"/>
    <w:rsid w:val="00CA545D"/>
    <w:rsid w:val="00D102EA"/>
    <w:rsid w:val="00D23391"/>
    <w:rsid w:val="00D250B4"/>
    <w:rsid w:val="00D475DA"/>
    <w:rsid w:val="00D56818"/>
    <w:rsid w:val="00D63FD3"/>
    <w:rsid w:val="00D82F89"/>
    <w:rsid w:val="00D908AF"/>
    <w:rsid w:val="00DB6810"/>
    <w:rsid w:val="00DC4A9C"/>
    <w:rsid w:val="00DD5BF5"/>
    <w:rsid w:val="00DF0732"/>
    <w:rsid w:val="00E31B80"/>
    <w:rsid w:val="00E56309"/>
    <w:rsid w:val="00E83F6F"/>
    <w:rsid w:val="00EA20E4"/>
    <w:rsid w:val="00EF0BB9"/>
    <w:rsid w:val="00F07C66"/>
    <w:rsid w:val="00F21D6D"/>
    <w:rsid w:val="00F41DBE"/>
    <w:rsid w:val="00F42CEB"/>
    <w:rsid w:val="00F50CF3"/>
    <w:rsid w:val="00F52686"/>
    <w:rsid w:val="00F55EF6"/>
    <w:rsid w:val="00F62EB1"/>
    <w:rsid w:val="00F638C0"/>
    <w:rsid w:val="00F747D4"/>
    <w:rsid w:val="00F75188"/>
    <w:rsid w:val="00FF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E8"/>
    <w:pPr>
      <w:spacing w:before="0" w:after="200" w:line="276" w:lineRule="auto"/>
      <w:ind w:left="0" w:firstLine="0"/>
    </w:pPr>
    <w:rPr>
      <w:rFonts w:ascii="Times New Roman" w:hAnsi="Times New Roman"/>
      <w:sz w:val="24"/>
    </w:rPr>
  </w:style>
  <w:style w:type="paragraph" w:styleId="Heading2">
    <w:name w:val="heading 2"/>
    <w:basedOn w:val="Normal"/>
    <w:next w:val="Normal"/>
    <w:link w:val="Heading2Char"/>
    <w:uiPriority w:val="9"/>
    <w:unhideWhenUsed/>
    <w:qFormat/>
    <w:rsid w:val="004F02E8"/>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4F02E8"/>
    <w:pPr>
      <w:keepNext/>
      <w:keepLines/>
      <w:numPr>
        <w:ilvl w:val="2"/>
        <w:numId w:val="1"/>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4412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2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F02E8"/>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4412A7"/>
    <w:rPr>
      <w:rFonts w:asciiTheme="majorHAnsi" w:eastAsiaTheme="majorEastAsia" w:hAnsiTheme="majorHAnsi" w:cstheme="majorBidi"/>
      <w:b/>
      <w:bCs/>
      <w:i/>
      <w:iCs/>
      <w:color w:val="4F81BD" w:themeColor="accent1"/>
      <w:sz w:val="24"/>
    </w:rPr>
  </w:style>
  <w:style w:type="paragraph" w:styleId="FootnoteText">
    <w:name w:val="footnote text"/>
    <w:basedOn w:val="Normal"/>
    <w:link w:val="FootnoteTextChar"/>
    <w:uiPriority w:val="99"/>
    <w:unhideWhenUsed/>
    <w:rsid w:val="004412A7"/>
    <w:pPr>
      <w:spacing w:after="0" w:line="240" w:lineRule="auto"/>
    </w:pPr>
    <w:rPr>
      <w:sz w:val="20"/>
      <w:szCs w:val="20"/>
    </w:rPr>
  </w:style>
  <w:style w:type="character" w:customStyle="1" w:styleId="FootnoteTextChar">
    <w:name w:val="Footnote Text Char"/>
    <w:basedOn w:val="DefaultParagraphFont"/>
    <w:link w:val="FootnoteText"/>
    <w:uiPriority w:val="99"/>
    <w:rsid w:val="004412A7"/>
    <w:rPr>
      <w:rFonts w:ascii="Times New Roman" w:hAnsi="Times New Roman"/>
      <w:sz w:val="20"/>
      <w:szCs w:val="20"/>
    </w:rPr>
  </w:style>
  <w:style w:type="character" w:styleId="FootnoteReference">
    <w:name w:val="footnote reference"/>
    <w:basedOn w:val="DefaultParagraphFont"/>
    <w:uiPriority w:val="99"/>
    <w:unhideWhenUsed/>
    <w:rsid w:val="004412A7"/>
    <w:rPr>
      <w:vertAlign w:val="superscript"/>
    </w:rPr>
  </w:style>
  <w:style w:type="character" w:customStyle="1" w:styleId="Hyperlink1">
    <w:name w:val="Hyperlink1"/>
    <w:basedOn w:val="DefaultParagraphFont"/>
    <w:uiPriority w:val="99"/>
    <w:unhideWhenUsed/>
    <w:rsid w:val="004412A7"/>
    <w:rPr>
      <w:color w:val="0000FF"/>
      <w:u w:val="single"/>
    </w:rPr>
  </w:style>
  <w:style w:type="character" w:styleId="Hyperlink">
    <w:name w:val="Hyperlink"/>
    <w:basedOn w:val="DefaultParagraphFont"/>
    <w:uiPriority w:val="99"/>
    <w:semiHidden/>
    <w:unhideWhenUsed/>
    <w:rsid w:val="004412A7"/>
    <w:rPr>
      <w:color w:val="0000FF" w:themeColor="hyperlink"/>
      <w:u w:val="single"/>
    </w:rPr>
  </w:style>
  <w:style w:type="paragraph" w:customStyle="1" w:styleId="ListBullet1">
    <w:name w:val="List Bullet1"/>
    <w:basedOn w:val="Normal"/>
    <w:next w:val="ListBullet"/>
    <w:qFormat/>
    <w:rsid w:val="004412A7"/>
    <w:pPr>
      <w:numPr>
        <w:numId w:val="3"/>
      </w:numPr>
      <w:spacing w:after="240" w:line="240" w:lineRule="auto"/>
      <w:ind w:left="0" w:firstLine="0"/>
      <w:contextualSpacing/>
    </w:pPr>
    <w:rPr>
      <w:szCs w:val="24"/>
    </w:rPr>
  </w:style>
  <w:style w:type="paragraph" w:styleId="ListBullet">
    <w:name w:val="List Bullet"/>
    <w:basedOn w:val="Normal"/>
    <w:uiPriority w:val="99"/>
    <w:semiHidden/>
    <w:unhideWhenUsed/>
    <w:rsid w:val="004412A7"/>
    <w:pPr>
      <w:ind w:left="720" w:hanging="720"/>
      <w:contextualSpacing/>
    </w:pPr>
  </w:style>
  <w:style w:type="paragraph" w:styleId="BalloonText">
    <w:name w:val="Balloon Text"/>
    <w:basedOn w:val="Normal"/>
    <w:link w:val="BalloonTextChar"/>
    <w:uiPriority w:val="99"/>
    <w:semiHidden/>
    <w:unhideWhenUsed/>
    <w:rsid w:val="003B6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FAF"/>
    <w:rPr>
      <w:rFonts w:ascii="Tahoma" w:hAnsi="Tahoma" w:cs="Tahoma"/>
      <w:sz w:val="16"/>
      <w:szCs w:val="16"/>
    </w:rPr>
  </w:style>
  <w:style w:type="paragraph" w:styleId="Header">
    <w:name w:val="header"/>
    <w:basedOn w:val="Normal"/>
    <w:link w:val="HeaderChar"/>
    <w:uiPriority w:val="99"/>
    <w:unhideWhenUsed/>
    <w:rsid w:val="003B6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FAF"/>
    <w:rPr>
      <w:rFonts w:ascii="Times New Roman" w:hAnsi="Times New Roman"/>
      <w:sz w:val="24"/>
    </w:rPr>
  </w:style>
  <w:style w:type="paragraph" w:styleId="Footer">
    <w:name w:val="footer"/>
    <w:basedOn w:val="Normal"/>
    <w:link w:val="FooterChar"/>
    <w:uiPriority w:val="99"/>
    <w:unhideWhenUsed/>
    <w:rsid w:val="003B6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FA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E8"/>
    <w:pPr>
      <w:spacing w:before="0" w:after="200" w:line="276" w:lineRule="auto"/>
      <w:ind w:left="0" w:firstLine="0"/>
    </w:pPr>
    <w:rPr>
      <w:rFonts w:ascii="Times New Roman" w:hAnsi="Times New Roman"/>
      <w:sz w:val="24"/>
    </w:rPr>
  </w:style>
  <w:style w:type="paragraph" w:styleId="Heading2">
    <w:name w:val="heading 2"/>
    <w:basedOn w:val="Normal"/>
    <w:next w:val="Normal"/>
    <w:link w:val="Heading2Char"/>
    <w:uiPriority w:val="9"/>
    <w:unhideWhenUsed/>
    <w:qFormat/>
    <w:rsid w:val="004F02E8"/>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4F02E8"/>
    <w:pPr>
      <w:keepNext/>
      <w:keepLines/>
      <w:numPr>
        <w:ilvl w:val="2"/>
        <w:numId w:val="1"/>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4412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2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F02E8"/>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4412A7"/>
    <w:rPr>
      <w:rFonts w:asciiTheme="majorHAnsi" w:eastAsiaTheme="majorEastAsia" w:hAnsiTheme="majorHAnsi" w:cstheme="majorBidi"/>
      <w:b/>
      <w:bCs/>
      <w:i/>
      <w:iCs/>
      <w:color w:val="4F81BD" w:themeColor="accent1"/>
      <w:sz w:val="24"/>
    </w:rPr>
  </w:style>
  <w:style w:type="paragraph" w:styleId="FootnoteText">
    <w:name w:val="footnote text"/>
    <w:basedOn w:val="Normal"/>
    <w:link w:val="FootnoteTextChar"/>
    <w:uiPriority w:val="99"/>
    <w:unhideWhenUsed/>
    <w:rsid w:val="004412A7"/>
    <w:pPr>
      <w:spacing w:after="0" w:line="240" w:lineRule="auto"/>
    </w:pPr>
    <w:rPr>
      <w:sz w:val="20"/>
      <w:szCs w:val="20"/>
    </w:rPr>
  </w:style>
  <w:style w:type="character" w:customStyle="1" w:styleId="FootnoteTextChar">
    <w:name w:val="Footnote Text Char"/>
    <w:basedOn w:val="DefaultParagraphFont"/>
    <w:link w:val="FootnoteText"/>
    <w:uiPriority w:val="99"/>
    <w:rsid w:val="004412A7"/>
    <w:rPr>
      <w:rFonts w:ascii="Times New Roman" w:hAnsi="Times New Roman"/>
      <w:sz w:val="20"/>
      <w:szCs w:val="20"/>
    </w:rPr>
  </w:style>
  <w:style w:type="character" w:styleId="FootnoteReference">
    <w:name w:val="footnote reference"/>
    <w:basedOn w:val="DefaultParagraphFont"/>
    <w:uiPriority w:val="99"/>
    <w:unhideWhenUsed/>
    <w:rsid w:val="004412A7"/>
    <w:rPr>
      <w:vertAlign w:val="superscript"/>
    </w:rPr>
  </w:style>
  <w:style w:type="character" w:customStyle="1" w:styleId="Hyperlink1">
    <w:name w:val="Hyperlink1"/>
    <w:basedOn w:val="DefaultParagraphFont"/>
    <w:uiPriority w:val="99"/>
    <w:unhideWhenUsed/>
    <w:rsid w:val="004412A7"/>
    <w:rPr>
      <w:color w:val="0000FF"/>
      <w:u w:val="single"/>
    </w:rPr>
  </w:style>
  <w:style w:type="character" w:styleId="Hyperlink">
    <w:name w:val="Hyperlink"/>
    <w:basedOn w:val="DefaultParagraphFont"/>
    <w:uiPriority w:val="99"/>
    <w:semiHidden/>
    <w:unhideWhenUsed/>
    <w:rsid w:val="004412A7"/>
    <w:rPr>
      <w:color w:val="0000FF" w:themeColor="hyperlink"/>
      <w:u w:val="single"/>
    </w:rPr>
  </w:style>
  <w:style w:type="paragraph" w:customStyle="1" w:styleId="ListBullet1">
    <w:name w:val="List Bullet1"/>
    <w:basedOn w:val="Normal"/>
    <w:next w:val="ListBullet"/>
    <w:qFormat/>
    <w:rsid w:val="004412A7"/>
    <w:pPr>
      <w:numPr>
        <w:numId w:val="3"/>
      </w:numPr>
      <w:spacing w:after="240" w:line="240" w:lineRule="auto"/>
      <w:ind w:left="0" w:firstLine="0"/>
      <w:contextualSpacing/>
    </w:pPr>
    <w:rPr>
      <w:szCs w:val="24"/>
    </w:rPr>
  </w:style>
  <w:style w:type="paragraph" w:styleId="ListBullet">
    <w:name w:val="List Bullet"/>
    <w:basedOn w:val="Normal"/>
    <w:uiPriority w:val="99"/>
    <w:semiHidden/>
    <w:unhideWhenUsed/>
    <w:rsid w:val="004412A7"/>
    <w:pPr>
      <w:ind w:left="720" w:hanging="720"/>
      <w:contextualSpacing/>
    </w:pPr>
  </w:style>
  <w:style w:type="paragraph" w:styleId="BalloonText">
    <w:name w:val="Balloon Text"/>
    <w:basedOn w:val="Normal"/>
    <w:link w:val="BalloonTextChar"/>
    <w:uiPriority w:val="99"/>
    <w:semiHidden/>
    <w:unhideWhenUsed/>
    <w:rsid w:val="003B6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FAF"/>
    <w:rPr>
      <w:rFonts w:ascii="Tahoma" w:hAnsi="Tahoma" w:cs="Tahoma"/>
      <w:sz w:val="16"/>
      <w:szCs w:val="16"/>
    </w:rPr>
  </w:style>
  <w:style w:type="paragraph" w:styleId="Header">
    <w:name w:val="header"/>
    <w:basedOn w:val="Normal"/>
    <w:link w:val="HeaderChar"/>
    <w:uiPriority w:val="99"/>
    <w:unhideWhenUsed/>
    <w:rsid w:val="003B6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FAF"/>
    <w:rPr>
      <w:rFonts w:ascii="Times New Roman" w:hAnsi="Times New Roman"/>
      <w:sz w:val="24"/>
    </w:rPr>
  </w:style>
  <w:style w:type="paragraph" w:styleId="Footer">
    <w:name w:val="footer"/>
    <w:basedOn w:val="Normal"/>
    <w:link w:val="FooterChar"/>
    <w:uiPriority w:val="99"/>
    <w:unhideWhenUsed/>
    <w:rsid w:val="003B6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FA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77018">
      <w:bodyDiv w:val="1"/>
      <w:marLeft w:val="0"/>
      <w:marRight w:val="0"/>
      <w:marTop w:val="0"/>
      <w:marBottom w:val="0"/>
      <w:divBdr>
        <w:top w:val="none" w:sz="0" w:space="0" w:color="auto"/>
        <w:left w:val="none" w:sz="0" w:space="0" w:color="auto"/>
        <w:bottom w:val="none" w:sz="0" w:space="0" w:color="auto"/>
        <w:right w:val="none" w:sz="0" w:space="0" w:color="auto"/>
      </w:divBdr>
      <w:divsChild>
        <w:div w:id="1375613382">
          <w:marLeft w:val="0"/>
          <w:marRight w:val="0"/>
          <w:marTop w:val="0"/>
          <w:marBottom w:val="0"/>
          <w:divBdr>
            <w:top w:val="none" w:sz="0" w:space="0" w:color="auto"/>
            <w:left w:val="none" w:sz="0" w:space="0" w:color="auto"/>
            <w:bottom w:val="none" w:sz="0" w:space="0" w:color="auto"/>
            <w:right w:val="none" w:sz="0" w:space="0" w:color="auto"/>
          </w:divBdr>
          <w:divsChild>
            <w:div w:id="118955969">
              <w:marLeft w:val="0"/>
              <w:marRight w:val="0"/>
              <w:marTop w:val="0"/>
              <w:marBottom w:val="0"/>
              <w:divBdr>
                <w:top w:val="none" w:sz="0" w:space="0" w:color="auto"/>
                <w:left w:val="none" w:sz="0" w:space="0" w:color="auto"/>
                <w:bottom w:val="none" w:sz="0" w:space="0" w:color="auto"/>
                <w:right w:val="none" w:sz="0" w:space="0" w:color="auto"/>
              </w:divBdr>
              <w:divsChild>
                <w:div w:id="1441611520">
                  <w:marLeft w:val="0"/>
                  <w:marRight w:val="0"/>
                  <w:marTop w:val="0"/>
                  <w:marBottom w:val="0"/>
                  <w:divBdr>
                    <w:top w:val="none" w:sz="0" w:space="0" w:color="auto"/>
                    <w:left w:val="none" w:sz="0" w:space="0" w:color="auto"/>
                    <w:bottom w:val="none" w:sz="0" w:space="0" w:color="auto"/>
                    <w:right w:val="none" w:sz="0" w:space="0" w:color="auto"/>
                  </w:divBdr>
                  <w:divsChild>
                    <w:div w:id="942299835">
                      <w:marLeft w:val="0"/>
                      <w:marRight w:val="0"/>
                      <w:marTop w:val="0"/>
                      <w:marBottom w:val="0"/>
                      <w:divBdr>
                        <w:top w:val="none" w:sz="0" w:space="0" w:color="auto"/>
                        <w:left w:val="none" w:sz="0" w:space="0" w:color="auto"/>
                        <w:bottom w:val="none" w:sz="0" w:space="0" w:color="auto"/>
                        <w:right w:val="none" w:sz="0" w:space="0" w:color="auto"/>
                      </w:divBdr>
                      <w:divsChild>
                        <w:div w:id="105388045">
                          <w:marLeft w:val="0"/>
                          <w:marRight w:val="0"/>
                          <w:marTop w:val="0"/>
                          <w:marBottom w:val="0"/>
                          <w:divBdr>
                            <w:top w:val="none" w:sz="0" w:space="0" w:color="auto"/>
                            <w:left w:val="none" w:sz="0" w:space="0" w:color="auto"/>
                            <w:bottom w:val="none" w:sz="0" w:space="0" w:color="auto"/>
                            <w:right w:val="none" w:sz="0" w:space="0" w:color="auto"/>
                          </w:divBdr>
                          <w:divsChild>
                            <w:div w:id="18692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520128">
      <w:bodyDiv w:val="1"/>
      <w:marLeft w:val="0"/>
      <w:marRight w:val="0"/>
      <w:marTop w:val="0"/>
      <w:marBottom w:val="0"/>
      <w:divBdr>
        <w:top w:val="none" w:sz="0" w:space="0" w:color="auto"/>
        <w:left w:val="none" w:sz="0" w:space="0" w:color="auto"/>
        <w:bottom w:val="none" w:sz="0" w:space="0" w:color="auto"/>
        <w:right w:val="none" w:sz="0" w:space="0" w:color="auto"/>
      </w:divBdr>
      <w:divsChild>
        <w:div w:id="170222238">
          <w:marLeft w:val="0"/>
          <w:marRight w:val="0"/>
          <w:marTop w:val="0"/>
          <w:marBottom w:val="0"/>
          <w:divBdr>
            <w:top w:val="none" w:sz="0" w:space="0" w:color="auto"/>
            <w:left w:val="none" w:sz="0" w:space="0" w:color="auto"/>
            <w:bottom w:val="none" w:sz="0" w:space="0" w:color="auto"/>
            <w:right w:val="none" w:sz="0" w:space="0" w:color="auto"/>
          </w:divBdr>
          <w:divsChild>
            <w:div w:id="589774202">
              <w:marLeft w:val="0"/>
              <w:marRight w:val="0"/>
              <w:marTop w:val="0"/>
              <w:marBottom w:val="0"/>
              <w:divBdr>
                <w:top w:val="none" w:sz="0" w:space="0" w:color="auto"/>
                <w:left w:val="none" w:sz="0" w:space="0" w:color="auto"/>
                <w:bottom w:val="none" w:sz="0" w:space="0" w:color="auto"/>
                <w:right w:val="none" w:sz="0" w:space="0" w:color="auto"/>
              </w:divBdr>
              <w:divsChild>
                <w:div w:id="794569722">
                  <w:marLeft w:val="0"/>
                  <w:marRight w:val="0"/>
                  <w:marTop w:val="0"/>
                  <w:marBottom w:val="0"/>
                  <w:divBdr>
                    <w:top w:val="none" w:sz="0" w:space="0" w:color="auto"/>
                    <w:left w:val="none" w:sz="0" w:space="0" w:color="auto"/>
                    <w:bottom w:val="none" w:sz="0" w:space="0" w:color="auto"/>
                    <w:right w:val="none" w:sz="0" w:space="0" w:color="auto"/>
                  </w:divBdr>
                  <w:divsChild>
                    <w:div w:id="2005668549">
                      <w:marLeft w:val="0"/>
                      <w:marRight w:val="0"/>
                      <w:marTop w:val="0"/>
                      <w:marBottom w:val="0"/>
                      <w:divBdr>
                        <w:top w:val="none" w:sz="0" w:space="0" w:color="auto"/>
                        <w:left w:val="none" w:sz="0" w:space="0" w:color="auto"/>
                        <w:bottom w:val="none" w:sz="0" w:space="0" w:color="auto"/>
                        <w:right w:val="none" w:sz="0" w:space="0" w:color="auto"/>
                      </w:divBdr>
                      <w:divsChild>
                        <w:div w:id="1730227246">
                          <w:marLeft w:val="0"/>
                          <w:marRight w:val="0"/>
                          <w:marTop w:val="0"/>
                          <w:marBottom w:val="0"/>
                          <w:divBdr>
                            <w:top w:val="none" w:sz="0" w:space="0" w:color="auto"/>
                            <w:left w:val="none" w:sz="0" w:space="0" w:color="auto"/>
                            <w:bottom w:val="none" w:sz="0" w:space="0" w:color="auto"/>
                            <w:right w:val="none" w:sz="0" w:space="0" w:color="auto"/>
                          </w:divBdr>
                          <w:divsChild>
                            <w:div w:id="18475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C6F1E-BB26-4E86-98AC-227A502F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Fowdur, Lona</dc:creator>
  <cp:lastModifiedBy>Argue, Dave</cp:lastModifiedBy>
  <cp:revision>11</cp:revision>
  <cp:lastPrinted>2016-04-06T12:58:00Z</cp:lastPrinted>
  <dcterms:created xsi:type="dcterms:W3CDTF">2016-04-05T14:28:00Z</dcterms:created>
  <dcterms:modified xsi:type="dcterms:W3CDTF">2016-04-06T16:13:00Z</dcterms:modified>
</cp:coreProperties>
</file>