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1137" w14:textId="77777777" w:rsidR="00E22940" w:rsidRDefault="00E22940">
      <w:pPr>
        <w:spacing w:after="0" w:line="240" w:lineRule="auto"/>
        <w:jc w:val="center"/>
        <w:rPr>
          <w:lang w:eastAsia="en-US"/>
        </w:rPr>
      </w:pPr>
      <w:r>
        <w:rPr>
          <w:rFonts w:ascii="Arial" w:hAnsi="Arial" w:cs="Arial"/>
          <w:b/>
          <w:bCs/>
          <w:color w:val="000000"/>
          <w:sz w:val="28"/>
          <w:szCs w:val="28"/>
        </w:rPr>
        <w:t xml:space="preserve">Open Enrollment 2027 Digital Toolkit </w:t>
      </w:r>
    </w:p>
    <w:p w14:paraId="7ADFDDAE" w14:textId="77777777" w:rsidR="0029720B" w:rsidRDefault="0029720B">
      <w:pPr>
        <w:spacing w:line="252" w:lineRule="auto"/>
        <w:rPr>
          <w:rFonts w:ascii="Arial" w:hAnsi="Arial" w:cs="Arial"/>
          <w:color w:val="000000"/>
        </w:rPr>
      </w:pPr>
    </w:p>
    <w:p w14:paraId="0A1D06BC" w14:textId="53D9B88F" w:rsidR="00E22940" w:rsidRDefault="0D1AB725">
      <w:pPr>
        <w:spacing w:line="252" w:lineRule="auto"/>
        <w:rPr>
          <w:lang w:eastAsia="en-US"/>
        </w:rPr>
      </w:pPr>
      <w:r w:rsidRPr="0E7B82D0">
        <w:rPr>
          <w:rFonts w:ascii="Arial" w:hAnsi="Arial" w:cs="Arial"/>
          <w:color w:val="000000" w:themeColor="text1"/>
        </w:rPr>
        <w:t>Healthcare coverage is an essential component of healthy communities, where all individuals reach their highest potential for health. Open enrollment for 2027 coverage through the Health Insurance Marketplace is expected to begin Nov. 1, 2026. Consumers should enroll by Dec. 15, 2026 for coverage that starts Jan. 1, 2027. Depending on final federal and state marketplace timelines, some consumers may have until Jan. 15, 2027 to enroll for coverage that starts Feb. 1, 2027. This is an opportunity to help individuals in all communities get covered for next year — either by re-enrolling in coverage or enrolling for the first time.</w:t>
      </w:r>
    </w:p>
    <w:p w14:paraId="57E1D0E7" w14:textId="77777777" w:rsidR="00E22940" w:rsidRDefault="0D1AB725">
      <w:pPr>
        <w:spacing w:line="252" w:lineRule="auto"/>
        <w:rPr>
          <w:lang w:eastAsia="en-US"/>
        </w:rPr>
      </w:pPr>
      <w:r w:rsidRPr="0E7B82D0">
        <w:rPr>
          <w:rFonts w:ascii="Arial" w:hAnsi="Arial" w:cs="Arial"/>
          <w:color w:val="000000" w:themeColor="text1"/>
        </w:rPr>
        <w:t>Marketplace deadlines and state-specific enrollment windows may vary, and federal rules for the final deadline may continue to evolve. Please stay up to date on timelines and changes by visiting HealthCare.gov and your state marketplace.</w:t>
      </w:r>
    </w:p>
    <w:p w14:paraId="123CDE51" w14:textId="5A676F4A" w:rsidR="00254A82" w:rsidRDefault="7F75A410" w:rsidP="6942CEA6">
      <w:pPr>
        <w:spacing w:line="252" w:lineRule="auto"/>
        <w:rPr>
          <w:rFonts w:ascii="Arial" w:eastAsia="Arial" w:hAnsi="Arial" w:cs="Arial"/>
          <w:color w:val="000000" w:themeColor="text1"/>
        </w:rPr>
      </w:pPr>
      <w:r w:rsidRPr="7B9FA9BB">
        <w:rPr>
          <w:rFonts w:ascii="Arial" w:eastAsia="Arial" w:hAnsi="Arial" w:cs="Arial"/>
          <w:b/>
          <w:bCs/>
          <w:color w:val="000000" w:themeColor="text1"/>
        </w:rPr>
        <w:t>Link</w:t>
      </w:r>
      <w:r w:rsidRPr="7B9FA9BB">
        <w:rPr>
          <w:rFonts w:ascii="Arial" w:eastAsia="Arial" w:hAnsi="Arial" w:cs="Arial"/>
          <w:color w:val="000000" w:themeColor="text1"/>
        </w:rPr>
        <w:t xml:space="preserve">: </w:t>
      </w:r>
      <w:hyperlink r:id="rId8" w:history="1">
        <w:r w:rsidR="00AC5F6F">
          <w:rPr>
            <w:rStyle w:val="Hyperlink"/>
            <w:rFonts w:ascii="Arial" w:eastAsia="Arial" w:hAnsi="Arial" w:cs="Arial"/>
          </w:rPr>
          <w:t>https://www.healthcare.gov/</w:t>
        </w:r>
      </w:hyperlink>
    </w:p>
    <w:p w14:paraId="530FE21F" w14:textId="71CB6603" w:rsidR="00254A82" w:rsidRDefault="5EA958C4" w:rsidP="6942CEA6">
      <w:pPr>
        <w:spacing w:after="0" w:line="240" w:lineRule="auto"/>
        <w:rPr>
          <w:rFonts w:ascii="Arial" w:eastAsia="Arial" w:hAnsi="Arial" w:cs="Arial"/>
          <w:color w:val="000000" w:themeColor="text1"/>
        </w:rPr>
      </w:pPr>
      <w:r w:rsidRPr="6942CEA6">
        <w:rPr>
          <w:rFonts w:ascii="Arial" w:eastAsia="Arial" w:hAnsi="Arial" w:cs="Arial"/>
          <w:color w:val="000000" w:themeColor="text1"/>
        </w:rPr>
        <w:t>If you have any questions about Open Enrollment messaging, please contact Emily Gustafson (</w:t>
      </w:r>
      <w:hyperlink r:id="rId9">
        <w:r w:rsidRPr="6942CEA6">
          <w:rPr>
            <w:rStyle w:val="Hyperlink"/>
            <w:rFonts w:ascii="Arial" w:eastAsia="Arial" w:hAnsi="Arial" w:cs="Arial"/>
          </w:rPr>
          <w:t>egustafson@aha.org</w:t>
        </w:r>
      </w:hyperlink>
      <w:r w:rsidRPr="6942CEA6">
        <w:rPr>
          <w:rFonts w:ascii="Arial" w:eastAsia="Arial" w:hAnsi="Arial" w:cs="Arial"/>
          <w:color w:val="000000" w:themeColor="text1"/>
        </w:rPr>
        <w:t>) or Hope Longe (</w:t>
      </w:r>
      <w:hyperlink r:id="rId10">
        <w:r w:rsidRPr="6942CEA6">
          <w:rPr>
            <w:rStyle w:val="Hyperlink"/>
            <w:rFonts w:ascii="Arial" w:eastAsia="Arial" w:hAnsi="Arial" w:cs="Arial"/>
          </w:rPr>
          <w:t>hlonge@aha.org</w:t>
        </w:r>
      </w:hyperlink>
      <w:r w:rsidRPr="6942CEA6">
        <w:rPr>
          <w:rFonts w:ascii="Arial" w:eastAsia="Arial" w:hAnsi="Arial" w:cs="Arial"/>
          <w:color w:val="000000" w:themeColor="text1"/>
        </w:rPr>
        <w:t>).</w:t>
      </w:r>
    </w:p>
    <w:p w14:paraId="3D679915" w14:textId="1C117BFF" w:rsidR="00254A82" w:rsidRDefault="00254A82" w:rsidP="6942CEA6">
      <w:pPr>
        <w:spacing w:after="0" w:line="240" w:lineRule="auto"/>
        <w:rPr>
          <w:rFonts w:ascii="Arial" w:eastAsia="Arial" w:hAnsi="Arial" w:cs="Arial"/>
          <w:color w:val="000000" w:themeColor="text1"/>
        </w:rPr>
      </w:pPr>
    </w:p>
    <w:p w14:paraId="46D74390" w14:textId="48C01758" w:rsidR="00254A82" w:rsidRDefault="5EA958C4" w:rsidP="6942CEA6">
      <w:pPr>
        <w:spacing w:after="0" w:line="360" w:lineRule="auto"/>
        <w:rPr>
          <w:rFonts w:ascii="Arial" w:eastAsia="Arial" w:hAnsi="Arial" w:cs="Arial"/>
          <w:b/>
          <w:bCs/>
          <w:color w:val="000000" w:themeColor="text1"/>
        </w:rPr>
      </w:pPr>
      <w:r w:rsidRPr="6942CEA6">
        <w:rPr>
          <w:rFonts w:ascii="Arial" w:eastAsia="Arial" w:hAnsi="Arial" w:cs="Arial"/>
          <w:b/>
          <w:bCs/>
          <w:color w:val="000000" w:themeColor="text1"/>
        </w:rPr>
        <w:t xml:space="preserve">Sample Social Posts: </w:t>
      </w:r>
    </w:p>
    <w:p w14:paraId="61BB2149" w14:textId="6146F10C" w:rsidR="00254A82" w:rsidRDefault="00254A82" w:rsidP="6942CEA6">
      <w:pPr>
        <w:shd w:val="clear" w:color="auto" w:fill="FFFFFF" w:themeFill="background1"/>
        <w:spacing w:after="0"/>
        <w:rPr>
          <w:rFonts w:ascii="Arial" w:eastAsia="Arial" w:hAnsi="Arial" w:cs="Arial"/>
          <w:color w:val="222222"/>
        </w:rPr>
      </w:pPr>
    </w:p>
    <w:p w14:paraId="6C4F5A9F" w14:textId="77777777" w:rsidR="00E22940" w:rsidRDefault="00E22940">
      <w:pPr>
        <w:rPr>
          <w:lang w:eastAsia="en-US"/>
        </w:rPr>
      </w:pPr>
      <w:r>
        <w:rPr>
          <w:rFonts w:ascii="Arial" w:hAnsi="Arial" w:cs="Arial"/>
        </w:rPr>
        <w:t>Open enrollment for 2027 health insurance coverage is expected to begin Nov. 1, 2026. This is your opportunity to sign up for or change your Marketplace health plan for the year ahead. Enroll by Dec. 15, 2026 for coverage that starts Jan. 1, 2027. Visit HealthCare.gov to explore your options and find coverage that fits your needs and budget.</w:t>
      </w:r>
    </w:p>
    <w:p w14:paraId="185246DA" w14:textId="2778DC92" w:rsidR="002355D0" w:rsidRDefault="002355D0">
      <w:pPr>
        <w:rPr>
          <w:lang w:eastAsia="en-US"/>
        </w:rPr>
      </w:pPr>
      <w:r>
        <w:rPr>
          <w:rFonts w:ascii="Arial" w:hAnsi="Arial" w:cs="Arial"/>
        </w:rPr>
        <w:t>Open enrollment for 2027 Marketplace health insurance coverage is expected to begin Nov. 1, 2026. Enroll by Dec. 15, 2026 for coverage that starts Jan. 1, 2027. Visit HealthCare.gov to compare plans, check savings and find coverage that works for you.</w:t>
      </w:r>
      <w:r>
        <w:br/>
      </w:r>
      <w:r>
        <w:br/>
      </w:r>
      <w:r>
        <w:rPr>
          <w:rFonts w:ascii="Arial" w:hAnsi="Arial" w:cs="Arial"/>
        </w:rPr>
        <w:t>Your health needs can change from year to year</w:t>
      </w:r>
      <w:r w:rsidR="0084511A">
        <w:rPr>
          <w:rFonts w:ascii="Arial" w:hAnsi="Arial" w:cs="Arial"/>
        </w:rPr>
        <w:t xml:space="preserve">, and </w:t>
      </w:r>
      <w:r>
        <w:rPr>
          <w:rFonts w:ascii="Arial" w:hAnsi="Arial" w:cs="Arial"/>
        </w:rPr>
        <w:t>your coverage should keep up. During open enrollment, review your doctors, prescriptions and expected care needs before choosing a 2027 Marketplace plan. Start at HealthCare.gov.</w:t>
      </w:r>
      <w:r>
        <w:br/>
      </w:r>
      <w:r>
        <w:br/>
      </w:r>
      <w:r>
        <w:rPr>
          <w:rFonts w:ascii="Arial" w:hAnsi="Arial" w:cs="Arial"/>
        </w:rPr>
        <w:t>Don’t wait until the deadline to get covered. Open enrollment is the time to sign up for or change Marketplace health insurance for 2027. Enroll early to help avoid delays and make sure your coverage is ready for the new year.</w:t>
      </w:r>
      <w:r>
        <w:br/>
      </w:r>
      <w:r>
        <w:br/>
      </w:r>
      <w:r>
        <w:rPr>
          <w:rFonts w:ascii="Arial" w:hAnsi="Arial" w:cs="Arial"/>
        </w:rPr>
        <w:t>Health insurance helps protect your health and your budget. Check HealthCare.gov during open enrollment to see if you qualify for financial help and compare 2027 plan options in your area.</w:t>
      </w:r>
      <w:r>
        <w:br/>
      </w:r>
      <w:r>
        <w:br/>
      </w:r>
      <w:r>
        <w:rPr>
          <w:rFonts w:ascii="Arial" w:hAnsi="Arial" w:cs="Arial"/>
        </w:rPr>
        <w:t>Already have Marketplace coverage? Take time to review your 2027 options. Updating your household information and comparing plans may help you find coverage that better fits your needs and budget.</w:t>
      </w:r>
      <w:r>
        <w:br/>
      </w:r>
      <w:r>
        <w:br/>
      </w:r>
      <w:r>
        <w:rPr>
          <w:rFonts w:ascii="Arial" w:hAnsi="Arial" w:cs="Arial"/>
        </w:rPr>
        <w:t>Life events like moving, getting married, having a baby or changes in income can affect your coverage needs. Open enrollment is your chance to choose a Marketplace plan for 2027 that fits where you are now.</w:t>
      </w:r>
      <w:r>
        <w:br/>
      </w:r>
      <w:r>
        <w:br/>
      </w:r>
      <w:r>
        <w:rPr>
          <w:rFonts w:ascii="Arial" w:hAnsi="Arial" w:cs="Arial"/>
        </w:rPr>
        <w:t>Need coverage for doctor visits, prescriptions, preventive care or unexpected health needs? Marketplace plans can help. Visit HealthCare.gov during open enrollment to review 2027 coverage options.</w:t>
      </w:r>
      <w:r>
        <w:br/>
      </w:r>
      <w:r>
        <w:br/>
      </w:r>
      <w:r>
        <w:rPr>
          <w:rFonts w:ascii="Arial" w:hAnsi="Arial" w:cs="Arial"/>
        </w:rPr>
        <w:t>Mark your calendar: Dec. 15, 2026 is the key deadline to enroll in or change Marketplace coverage that starts Jan. 1, 2027. Check your state’s final deadline and start your application at HealthCare.gov.</w:t>
      </w:r>
      <w:r>
        <w:br/>
      </w:r>
      <w:r>
        <w:br/>
      </w:r>
      <w:r>
        <w:rPr>
          <w:rFonts w:ascii="Arial" w:hAnsi="Arial" w:cs="Arial"/>
        </w:rPr>
        <w:t>Choosing health coverage can feel overwhelming, but help is available. HealthCare.gov can connect you with tools and local assistance to compare 2027 plans and complete your application.</w:t>
      </w:r>
      <w:r>
        <w:br/>
      </w:r>
      <w:r>
        <w:br/>
      </w:r>
      <w:r>
        <w:rPr>
          <w:rFonts w:ascii="Arial" w:hAnsi="Arial" w:cs="Arial"/>
        </w:rPr>
        <w:t>Make health coverage part of your plan for the year ahead. During open enrollment, compare 2027 Marketplace plans, review costs and benefits, and enroll early so you can start the new year covered.</w:t>
      </w:r>
    </w:p>
    <w:p w14:paraId="29793F08" w14:textId="4A03B788" w:rsidR="00254A82" w:rsidRDefault="0E25141B" w:rsidP="6942CEA6">
      <w:pPr>
        <w:rPr>
          <w:rFonts w:ascii="Arial" w:eastAsia="Arial" w:hAnsi="Arial" w:cs="Arial"/>
        </w:rPr>
      </w:pPr>
      <w:r w:rsidRPr="7B9FA9BB">
        <w:rPr>
          <w:rFonts w:ascii="Arial" w:eastAsia="Arial" w:hAnsi="Arial" w:cs="Arial"/>
          <w:b/>
          <w:bCs/>
        </w:rPr>
        <w:t>Graphics</w:t>
      </w:r>
      <w:r w:rsidRPr="7B9FA9BB">
        <w:rPr>
          <w:rFonts w:ascii="Arial" w:eastAsia="Arial" w:hAnsi="Arial" w:cs="Arial"/>
        </w:rPr>
        <w:t xml:space="preserve">: </w:t>
      </w:r>
    </w:p>
    <w:p w14:paraId="45742C8C" w14:textId="55B7CC3E" w:rsidR="14B57C97" w:rsidRPr="001E3F52" w:rsidRDefault="72F9E2FF" w:rsidP="7B9FA9BB">
      <w:r>
        <w:t xml:space="preserve"> </w:t>
      </w:r>
      <w:r w:rsidR="509460DE">
        <w:rPr>
          <w:noProof/>
        </w:rPr>
        <w:drawing>
          <wp:inline distT="0" distB="0" distL="0" distR="0" wp14:anchorId="6C7974A1" wp14:editId="7DEFE976">
            <wp:extent cx="5943600" cy="5943600"/>
            <wp:effectExtent l="0" t="0" r="0" b="0"/>
            <wp:docPr id="857348861" name="Picture 6">
              <a:extLst xmlns:a="http://schemas.openxmlformats.org/drawingml/2006/main">
                <a:ext uri="{FF2B5EF4-FFF2-40B4-BE49-F238E27FC236}">
                  <a16:creationId xmlns:a16="http://schemas.microsoft.com/office/drawing/2014/main" id="{08913266-4FE2-43F8-8591-E4F5CFC193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48861"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rsidR="509460DE">
        <w:rPr>
          <w:noProof/>
        </w:rPr>
        <w:drawing>
          <wp:inline distT="0" distB="0" distL="0" distR="0" wp14:anchorId="6BD7027B" wp14:editId="46A15DEE">
            <wp:extent cx="5943600" cy="5938101"/>
            <wp:effectExtent l="0" t="0" r="0" b="5715"/>
            <wp:docPr id="1901384209" name="Picture 7">
              <a:extLst xmlns:a="http://schemas.openxmlformats.org/drawingml/2006/main">
                <a:ext uri="{FF2B5EF4-FFF2-40B4-BE49-F238E27FC236}">
                  <a16:creationId xmlns:a16="http://schemas.microsoft.com/office/drawing/2014/main" id="{EE6DF5D0-C692-4235-961A-329B7CB82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384209"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5943600" cy="5938101"/>
                    </a:xfrm>
                    <a:prstGeom prst="rect">
                      <a:avLst/>
                    </a:prstGeom>
                  </pic:spPr>
                </pic:pic>
              </a:graphicData>
            </a:graphic>
          </wp:inline>
        </w:drawing>
      </w:r>
      <w:r w:rsidR="509460DE">
        <w:rPr>
          <w:noProof/>
        </w:rPr>
        <w:drawing>
          <wp:inline distT="0" distB="0" distL="0" distR="0" wp14:anchorId="050B091F" wp14:editId="5C8631C8">
            <wp:extent cx="5943600" cy="5943600"/>
            <wp:effectExtent l="0" t="0" r="0" b="0"/>
            <wp:docPr id="1631469280" name="Picture 8">
              <a:extLst xmlns:a="http://schemas.openxmlformats.org/drawingml/2006/main">
                <a:ext uri="{FF2B5EF4-FFF2-40B4-BE49-F238E27FC236}">
                  <a16:creationId xmlns:a16="http://schemas.microsoft.com/office/drawing/2014/main" id="{6D8DB351-16AB-44D4-905A-821412DF27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69280" name="Picture 8"/>
                    <pic:cNvPicPr/>
                  </pic:nvPicPr>
                  <pic:blipFill>
                    <a:blip r:embed="rId13">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28D1EC7" w14:textId="02017FBC" w:rsidR="00254A82" w:rsidRDefault="00254A82" w:rsidP="6942CEA6">
      <w:pPr>
        <w:spacing w:after="0" w:line="360" w:lineRule="auto"/>
        <w:rPr>
          <w:rFonts w:ascii="Calibri Light" w:eastAsia="Calibri Light" w:hAnsi="Calibri Light" w:cs="Calibri Light"/>
          <w:color w:val="000000" w:themeColor="text1"/>
          <w:sz w:val="22"/>
          <w:szCs w:val="22"/>
        </w:rPr>
      </w:pPr>
    </w:p>
    <w:p w14:paraId="2C078E63" w14:textId="025B0567" w:rsidR="00254A82" w:rsidRDefault="00254A82" w:rsidP="6942CEA6">
      <w:pPr>
        <w:rPr>
          <w:rFonts w:ascii="Arial" w:eastAsia="Arial" w:hAnsi="Arial" w:cs="Arial"/>
        </w:rPr>
      </w:pPr>
    </w:p>
    <w:sectPr w:rsidR="00254A82">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81521" w14:textId="77777777" w:rsidR="008908DB" w:rsidRDefault="008908DB">
      <w:pPr>
        <w:spacing w:after="0" w:line="240" w:lineRule="auto"/>
      </w:pPr>
      <w:r>
        <w:separator/>
      </w:r>
    </w:p>
  </w:endnote>
  <w:endnote w:type="continuationSeparator" w:id="0">
    <w:p w14:paraId="460062C8" w14:textId="77777777" w:rsidR="008908DB" w:rsidRDefault="00890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63A5" w14:textId="77777777" w:rsidR="0029720B" w:rsidRDefault="002972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42CEA6" w14:paraId="66D0DCA8" w14:textId="77777777" w:rsidTr="6942CEA6">
      <w:trPr>
        <w:trHeight w:val="300"/>
      </w:trPr>
      <w:tc>
        <w:tcPr>
          <w:tcW w:w="3120" w:type="dxa"/>
        </w:tcPr>
        <w:p w14:paraId="287346A9" w14:textId="499C4E0E" w:rsidR="6942CEA6" w:rsidRDefault="6942CEA6" w:rsidP="6942CEA6">
          <w:pPr>
            <w:pStyle w:val="Header"/>
            <w:ind w:left="-115"/>
          </w:pPr>
        </w:p>
      </w:tc>
      <w:tc>
        <w:tcPr>
          <w:tcW w:w="3120" w:type="dxa"/>
        </w:tcPr>
        <w:p w14:paraId="5AC90AB3" w14:textId="5030D280" w:rsidR="6942CEA6" w:rsidRDefault="6942CEA6" w:rsidP="6942CEA6">
          <w:pPr>
            <w:pStyle w:val="Header"/>
            <w:jc w:val="center"/>
          </w:pPr>
        </w:p>
      </w:tc>
      <w:tc>
        <w:tcPr>
          <w:tcW w:w="3120" w:type="dxa"/>
        </w:tcPr>
        <w:p w14:paraId="16CC935E" w14:textId="4168217F" w:rsidR="6942CEA6" w:rsidRDefault="6942CEA6" w:rsidP="6942CEA6">
          <w:pPr>
            <w:pStyle w:val="Header"/>
            <w:ind w:right="-115"/>
            <w:jc w:val="right"/>
          </w:pPr>
        </w:p>
      </w:tc>
    </w:tr>
  </w:tbl>
  <w:p w14:paraId="263D461A" w14:textId="07F07D95" w:rsidR="6942CEA6" w:rsidRDefault="6942CEA6" w:rsidP="6942CE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42CEA6" w14:paraId="6E2990C9" w14:textId="77777777" w:rsidTr="6942CEA6">
      <w:trPr>
        <w:trHeight w:val="300"/>
      </w:trPr>
      <w:tc>
        <w:tcPr>
          <w:tcW w:w="3120" w:type="dxa"/>
        </w:tcPr>
        <w:p w14:paraId="0206A403" w14:textId="54298470" w:rsidR="6942CEA6" w:rsidRDefault="6942CEA6" w:rsidP="6942CEA6">
          <w:pPr>
            <w:pStyle w:val="Header"/>
            <w:ind w:left="-115"/>
          </w:pPr>
        </w:p>
      </w:tc>
      <w:tc>
        <w:tcPr>
          <w:tcW w:w="3120" w:type="dxa"/>
        </w:tcPr>
        <w:p w14:paraId="2D319BE6" w14:textId="6EA4A993" w:rsidR="6942CEA6" w:rsidRDefault="6942CEA6" w:rsidP="6942CEA6">
          <w:pPr>
            <w:pStyle w:val="Header"/>
            <w:jc w:val="center"/>
          </w:pPr>
        </w:p>
      </w:tc>
      <w:tc>
        <w:tcPr>
          <w:tcW w:w="3120" w:type="dxa"/>
        </w:tcPr>
        <w:p w14:paraId="12EE0482" w14:textId="0DCFCB48" w:rsidR="6942CEA6" w:rsidRDefault="6942CEA6" w:rsidP="6942CEA6">
          <w:pPr>
            <w:pStyle w:val="Header"/>
            <w:ind w:right="-115"/>
            <w:jc w:val="right"/>
          </w:pPr>
        </w:p>
      </w:tc>
    </w:tr>
  </w:tbl>
  <w:p w14:paraId="7ECA204E" w14:textId="513E4DF8" w:rsidR="6942CEA6" w:rsidRDefault="6942CEA6" w:rsidP="6942C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DD6F5" w14:textId="77777777" w:rsidR="008908DB" w:rsidRDefault="008908DB">
      <w:pPr>
        <w:spacing w:after="0" w:line="240" w:lineRule="auto"/>
      </w:pPr>
      <w:r>
        <w:separator/>
      </w:r>
    </w:p>
  </w:footnote>
  <w:footnote w:type="continuationSeparator" w:id="0">
    <w:p w14:paraId="24ACF11F" w14:textId="77777777" w:rsidR="008908DB" w:rsidRDefault="00890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CB7EA" w14:textId="77777777" w:rsidR="0029720B" w:rsidRDefault="00297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42CEA6" w14:paraId="4BD0CE02" w14:textId="77777777" w:rsidTr="6942CEA6">
      <w:trPr>
        <w:trHeight w:val="300"/>
      </w:trPr>
      <w:tc>
        <w:tcPr>
          <w:tcW w:w="3120" w:type="dxa"/>
        </w:tcPr>
        <w:p w14:paraId="4939595C" w14:textId="75159CF0" w:rsidR="6942CEA6" w:rsidRDefault="6942CEA6" w:rsidP="6942CEA6">
          <w:pPr>
            <w:pStyle w:val="Header"/>
            <w:ind w:left="-115"/>
          </w:pPr>
        </w:p>
      </w:tc>
      <w:tc>
        <w:tcPr>
          <w:tcW w:w="3120" w:type="dxa"/>
        </w:tcPr>
        <w:p w14:paraId="60C2EA96" w14:textId="4104A429" w:rsidR="6942CEA6" w:rsidRDefault="6942CEA6" w:rsidP="6942CEA6">
          <w:pPr>
            <w:jc w:val="center"/>
          </w:pPr>
        </w:p>
      </w:tc>
      <w:tc>
        <w:tcPr>
          <w:tcW w:w="3120" w:type="dxa"/>
        </w:tcPr>
        <w:p w14:paraId="24BC25C3" w14:textId="7FD4E914" w:rsidR="6942CEA6" w:rsidRDefault="6942CEA6" w:rsidP="6942CEA6">
          <w:pPr>
            <w:pStyle w:val="Header"/>
            <w:ind w:right="-115"/>
            <w:jc w:val="right"/>
          </w:pPr>
        </w:p>
      </w:tc>
    </w:tr>
  </w:tbl>
  <w:p w14:paraId="12DE713A" w14:textId="28150C97" w:rsidR="6942CEA6" w:rsidRDefault="6942CEA6" w:rsidP="6942CE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42CEA6" w14:paraId="2F096EBD" w14:textId="77777777" w:rsidTr="6942CEA6">
      <w:trPr>
        <w:trHeight w:val="300"/>
      </w:trPr>
      <w:tc>
        <w:tcPr>
          <w:tcW w:w="3120" w:type="dxa"/>
        </w:tcPr>
        <w:p w14:paraId="3EDA7788" w14:textId="08784234" w:rsidR="6942CEA6" w:rsidRDefault="6942CEA6" w:rsidP="6942CEA6">
          <w:pPr>
            <w:pStyle w:val="Header"/>
            <w:ind w:left="-115"/>
          </w:pPr>
        </w:p>
      </w:tc>
      <w:tc>
        <w:tcPr>
          <w:tcW w:w="3120" w:type="dxa"/>
        </w:tcPr>
        <w:p w14:paraId="6A398BB9" w14:textId="1FA419AE" w:rsidR="6942CEA6" w:rsidRDefault="6942CEA6" w:rsidP="6942CEA6">
          <w:pPr>
            <w:jc w:val="center"/>
          </w:pPr>
          <w:r>
            <w:rPr>
              <w:noProof/>
            </w:rPr>
            <w:drawing>
              <wp:inline distT="0" distB="0" distL="0" distR="0" wp14:anchorId="43282EA8" wp14:editId="6E9767F5">
                <wp:extent cx="1847850" cy="685800"/>
                <wp:effectExtent l="0" t="0" r="0" b="0"/>
                <wp:docPr id="1011157077" name="drawing">
                  <a:extLst xmlns:a="http://schemas.openxmlformats.org/drawingml/2006/main">
                    <a:ext uri="{FF2B5EF4-FFF2-40B4-BE49-F238E27FC236}">
                      <a16:creationId xmlns:a16="http://schemas.microsoft.com/office/drawing/2014/main" id="{B6A457B4-BB4F-4C9E-AD71-9EACB0A3BB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57077" name=""/>
                        <pic:cNvPicPr/>
                      </pic:nvPicPr>
                      <pic:blipFill>
                        <a:blip r:embed="rId1">
                          <a:extLst>
                            <a:ext uri="{28A0092B-C50C-407E-A947-70E740481C1C}">
                              <a14:useLocalDpi xmlns:a14="http://schemas.microsoft.com/office/drawing/2010/main" val="0"/>
                            </a:ext>
                          </a:extLst>
                        </a:blip>
                        <a:stretch>
                          <a:fillRect/>
                        </a:stretch>
                      </pic:blipFill>
                      <pic:spPr>
                        <a:xfrm>
                          <a:off x="0" y="0"/>
                          <a:ext cx="1847850" cy="685800"/>
                        </a:xfrm>
                        <a:prstGeom prst="rect">
                          <a:avLst/>
                        </a:prstGeom>
                      </pic:spPr>
                    </pic:pic>
                  </a:graphicData>
                </a:graphic>
              </wp:inline>
            </w:drawing>
          </w:r>
        </w:p>
      </w:tc>
      <w:tc>
        <w:tcPr>
          <w:tcW w:w="3120" w:type="dxa"/>
        </w:tcPr>
        <w:p w14:paraId="1413B5F1" w14:textId="266864A6" w:rsidR="6942CEA6" w:rsidRDefault="6942CEA6" w:rsidP="6942CEA6">
          <w:pPr>
            <w:pStyle w:val="Header"/>
            <w:ind w:right="-115"/>
            <w:jc w:val="right"/>
          </w:pPr>
        </w:p>
      </w:tc>
    </w:tr>
  </w:tbl>
  <w:p w14:paraId="468BFE7B" w14:textId="677765F9" w:rsidR="6942CEA6" w:rsidRDefault="6942CEA6" w:rsidP="6942C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3CC0AF"/>
    <w:rsid w:val="00035564"/>
    <w:rsid w:val="000362C7"/>
    <w:rsid w:val="00062262"/>
    <w:rsid w:val="000C6614"/>
    <w:rsid w:val="000D7A28"/>
    <w:rsid w:val="001877B7"/>
    <w:rsid w:val="001B5E54"/>
    <w:rsid w:val="001E3F52"/>
    <w:rsid w:val="0021170D"/>
    <w:rsid w:val="002355D0"/>
    <w:rsid w:val="00247B3D"/>
    <w:rsid w:val="00253654"/>
    <w:rsid w:val="00254A82"/>
    <w:rsid w:val="0027148F"/>
    <w:rsid w:val="00293B76"/>
    <w:rsid w:val="0029720B"/>
    <w:rsid w:val="002E1FA8"/>
    <w:rsid w:val="00316A11"/>
    <w:rsid w:val="00357F2E"/>
    <w:rsid w:val="00384C42"/>
    <w:rsid w:val="004230BA"/>
    <w:rsid w:val="00436E67"/>
    <w:rsid w:val="00437446"/>
    <w:rsid w:val="00463C42"/>
    <w:rsid w:val="00484190"/>
    <w:rsid w:val="00500EA5"/>
    <w:rsid w:val="00511390"/>
    <w:rsid w:val="005A2195"/>
    <w:rsid w:val="005F3513"/>
    <w:rsid w:val="005F43D1"/>
    <w:rsid w:val="006227F6"/>
    <w:rsid w:val="00624EFE"/>
    <w:rsid w:val="00733EC9"/>
    <w:rsid w:val="00752FDD"/>
    <w:rsid w:val="0075521C"/>
    <w:rsid w:val="0078043E"/>
    <w:rsid w:val="00797507"/>
    <w:rsid w:val="007A194A"/>
    <w:rsid w:val="0084511A"/>
    <w:rsid w:val="00886842"/>
    <w:rsid w:val="008908DB"/>
    <w:rsid w:val="008B651E"/>
    <w:rsid w:val="00936364"/>
    <w:rsid w:val="00975D92"/>
    <w:rsid w:val="009C18F6"/>
    <w:rsid w:val="009D028C"/>
    <w:rsid w:val="009F3BAA"/>
    <w:rsid w:val="009F4643"/>
    <w:rsid w:val="00A45BCE"/>
    <w:rsid w:val="00A45E7C"/>
    <w:rsid w:val="00AA323C"/>
    <w:rsid w:val="00AA42A7"/>
    <w:rsid w:val="00AB4D82"/>
    <w:rsid w:val="00AC5F6F"/>
    <w:rsid w:val="00AE5C2C"/>
    <w:rsid w:val="00B64535"/>
    <w:rsid w:val="00B724CE"/>
    <w:rsid w:val="00BF5C87"/>
    <w:rsid w:val="00C3500A"/>
    <w:rsid w:val="00C42ADC"/>
    <w:rsid w:val="00C449B0"/>
    <w:rsid w:val="00C840C9"/>
    <w:rsid w:val="00CD5598"/>
    <w:rsid w:val="00CE4D41"/>
    <w:rsid w:val="00D634AF"/>
    <w:rsid w:val="00D6479E"/>
    <w:rsid w:val="00D94E90"/>
    <w:rsid w:val="00D96857"/>
    <w:rsid w:val="00DC49F8"/>
    <w:rsid w:val="00E22940"/>
    <w:rsid w:val="00E349F5"/>
    <w:rsid w:val="00E36D2F"/>
    <w:rsid w:val="00E40AB8"/>
    <w:rsid w:val="00E432F1"/>
    <w:rsid w:val="00E63868"/>
    <w:rsid w:val="00E7183A"/>
    <w:rsid w:val="00E90C35"/>
    <w:rsid w:val="00EC1196"/>
    <w:rsid w:val="00EC1613"/>
    <w:rsid w:val="00EC7994"/>
    <w:rsid w:val="00F11248"/>
    <w:rsid w:val="00F16772"/>
    <w:rsid w:val="00F31081"/>
    <w:rsid w:val="00F33325"/>
    <w:rsid w:val="00F91B43"/>
    <w:rsid w:val="00F91BD0"/>
    <w:rsid w:val="017E09BA"/>
    <w:rsid w:val="044B5A3E"/>
    <w:rsid w:val="066F0FA5"/>
    <w:rsid w:val="0B32BAEC"/>
    <w:rsid w:val="0D1AB725"/>
    <w:rsid w:val="0E1C5D65"/>
    <w:rsid w:val="0E25141B"/>
    <w:rsid w:val="0E7B82D0"/>
    <w:rsid w:val="10D21D26"/>
    <w:rsid w:val="115F991D"/>
    <w:rsid w:val="12A840ED"/>
    <w:rsid w:val="14B57C97"/>
    <w:rsid w:val="16FB0903"/>
    <w:rsid w:val="1B419886"/>
    <w:rsid w:val="1E7BE086"/>
    <w:rsid w:val="1F1BE5C7"/>
    <w:rsid w:val="29FD2AC4"/>
    <w:rsid w:val="2C28A848"/>
    <w:rsid w:val="2DB5F26D"/>
    <w:rsid w:val="2F3CC0AF"/>
    <w:rsid w:val="2F87F5FD"/>
    <w:rsid w:val="3DDC8F0F"/>
    <w:rsid w:val="42402C88"/>
    <w:rsid w:val="42F058E0"/>
    <w:rsid w:val="436FD8BB"/>
    <w:rsid w:val="4A7501E2"/>
    <w:rsid w:val="509460DE"/>
    <w:rsid w:val="5188D975"/>
    <w:rsid w:val="518BE0AA"/>
    <w:rsid w:val="51DBE08C"/>
    <w:rsid w:val="52FA6CA3"/>
    <w:rsid w:val="56C5E33F"/>
    <w:rsid w:val="5804C628"/>
    <w:rsid w:val="5C78F4B6"/>
    <w:rsid w:val="5EA958C4"/>
    <w:rsid w:val="6316B57E"/>
    <w:rsid w:val="6942CEA6"/>
    <w:rsid w:val="6A2057C4"/>
    <w:rsid w:val="6E490C5D"/>
    <w:rsid w:val="72F9E2FF"/>
    <w:rsid w:val="75B78562"/>
    <w:rsid w:val="7B9FA9BB"/>
    <w:rsid w:val="7F75A4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4FEA"/>
  <w15:chartTrackingRefBased/>
  <w15:docId w15:val="{AC70EA91-AB9B-4332-9963-CF936094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6942CEA6"/>
    <w:rPr>
      <w:color w:val="467886"/>
      <w:u w:val="single"/>
    </w:rPr>
  </w:style>
  <w:style w:type="paragraph" w:styleId="Header">
    <w:name w:val="header"/>
    <w:basedOn w:val="Normal"/>
    <w:uiPriority w:val="99"/>
    <w:unhideWhenUsed/>
    <w:rsid w:val="6942CEA6"/>
    <w:pPr>
      <w:tabs>
        <w:tab w:val="center" w:pos="4680"/>
        <w:tab w:val="right" w:pos="9360"/>
      </w:tabs>
      <w:spacing w:after="0" w:line="240" w:lineRule="auto"/>
    </w:pPr>
  </w:style>
  <w:style w:type="paragraph" w:styleId="Footer">
    <w:name w:val="footer"/>
    <w:basedOn w:val="Normal"/>
    <w:uiPriority w:val="99"/>
    <w:unhideWhenUsed/>
    <w:rsid w:val="6942CEA6"/>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90C35"/>
    <w:pPr>
      <w:spacing w:after="0" w:line="240" w:lineRule="auto"/>
    </w:pPr>
  </w:style>
  <w:style w:type="character" w:styleId="UnresolvedMention">
    <w:name w:val="Unresolved Mention"/>
    <w:basedOn w:val="DefaultParagraphFont"/>
    <w:uiPriority w:val="99"/>
    <w:semiHidden/>
    <w:unhideWhenUsed/>
    <w:rsid w:val="00AC5F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gov/" TargetMode="External"/><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hlonge@aha.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egustafson@aha.org"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701D4-EF36-4443-AECA-396BF8B91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552</Words>
  <Characters>3148</Characters>
  <Application>Microsoft Office Word</Application>
  <DocSecurity>4</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 Longe</dc:creator>
  <cp:keywords/>
  <dc:description/>
  <cp:lastModifiedBy>Hope Longe</cp:lastModifiedBy>
  <cp:revision>25</cp:revision>
  <dcterms:created xsi:type="dcterms:W3CDTF">2025-10-07T18:22:00Z</dcterms:created>
  <dcterms:modified xsi:type="dcterms:W3CDTF">2026-10-12T14:13:00Z</dcterms:modified>
</cp:coreProperties>
</file>